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A13" w:rsidRPr="004927AA" w:rsidRDefault="004927AA" w:rsidP="004927AA">
      <w:pPr>
        <w:spacing w:line="240" w:lineRule="auto"/>
        <w:jc w:val="center"/>
        <w:rPr>
          <w:rFonts w:asciiTheme="minorHAnsi" w:hAnsiTheme="minorHAnsi" w:cstheme="minorHAnsi"/>
          <w:b/>
          <w:sz w:val="32"/>
          <w:szCs w:val="32"/>
          <w:u w:val="single"/>
        </w:rPr>
      </w:pPr>
      <w:bookmarkStart w:id="0" w:name="_GoBack"/>
      <w:bookmarkEnd w:id="0"/>
      <w:r w:rsidRPr="004927AA">
        <w:rPr>
          <w:rFonts w:asciiTheme="minorHAnsi" w:hAnsiTheme="minorHAnsi" w:cstheme="minorHAnsi"/>
          <w:b/>
          <w:sz w:val="32"/>
          <w:szCs w:val="32"/>
          <w:u w:val="single"/>
        </w:rPr>
        <w:t>G</w:t>
      </w:r>
      <w:r>
        <w:rPr>
          <w:rFonts w:asciiTheme="minorHAnsi" w:hAnsiTheme="minorHAnsi" w:cstheme="minorHAnsi"/>
          <w:b/>
          <w:sz w:val="32"/>
          <w:szCs w:val="32"/>
          <w:u w:val="single"/>
        </w:rPr>
        <w:t xml:space="preserve">rant </w:t>
      </w:r>
      <w:r w:rsidRPr="004927AA">
        <w:rPr>
          <w:rFonts w:asciiTheme="minorHAnsi" w:hAnsiTheme="minorHAnsi" w:cstheme="minorHAnsi"/>
          <w:b/>
          <w:sz w:val="32"/>
          <w:szCs w:val="32"/>
          <w:u w:val="single"/>
        </w:rPr>
        <w:t>PUD’s Response to the USBR’s December 4, 2019 Questions</w:t>
      </w:r>
    </w:p>
    <w:p w:rsidR="004927AA" w:rsidRPr="004927AA" w:rsidRDefault="004927AA" w:rsidP="004927AA">
      <w:pPr>
        <w:spacing w:line="240" w:lineRule="auto"/>
        <w:rPr>
          <w:rFonts w:asciiTheme="minorHAnsi" w:hAnsiTheme="minorHAnsi" w:cstheme="minorHAnsi"/>
          <w:sz w:val="28"/>
          <w:szCs w:val="28"/>
        </w:rPr>
      </w:pPr>
    </w:p>
    <w:p w:rsidR="004927AA" w:rsidRPr="004927AA" w:rsidRDefault="004927AA" w:rsidP="004927AA">
      <w:pPr>
        <w:pStyle w:val="BodyText"/>
        <w:rPr>
          <w:rFonts w:asciiTheme="minorHAnsi" w:hAnsiTheme="minorHAnsi" w:cstheme="minorHAnsi"/>
          <w:color w:val="1F1F1F"/>
          <w:w w:val="105"/>
          <w:sz w:val="28"/>
          <w:szCs w:val="28"/>
        </w:rPr>
      </w:pPr>
      <w:r w:rsidRPr="004927AA">
        <w:rPr>
          <w:rFonts w:asciiTheme="minorHAnsi" w:hAnsiTheme="minorHAnsi" w:cstheme="minorHAnsi"/>
          <w:color w:val="1F1F1F"/>
          <w:w w:val="105"/>
          <w:sz w:val="28"/>
          <w:szCs w:val="28"/>
        </w:rPr>
        <w:t xml:space="preserve">As part of its customer engagement process for developing an updated transmission (wheeling) cost of service study (“COSS” or “Study”), Public Utility District No. 2 of Grant County (“Grant PUD”) requested comments and feedback regarding its draft transmission (“wheeling”) COSS. </w:t>
      </w:r>
    </w:p>
    <w:p w:rsidR="004927AA" w:rsidRPr="004927AA" w:rsidRDefault="004927AA" w:rsidP="004927AA">
      <w:pPr>
        <w:spacing w:line="240" w:lineRule="auto"/>
        <w:rPr>
          <w:rFonts w:asciiTheme="minorHAnsi" w:hAnsiTheme="minorHAnsi" w:cstheme="minorHAnsi"/>
          <w:color w:val="1F1F1F"/>
          <w:w w:val="105"/>
          <w:sz w:val="28"/>
          <w:szCs w:val="28"/>
        </w:rPr>
      </w:pPr>
    </w:p>
    <w:p w:rsidR="004927AA" w:rsidRPr="004927AA" w:rsidRDefault="004927AA" w:rsidP="004927AA">
      <w:pPr>
        <w:spacing w:line="240" w:lineRule="auto"/>
        <w:rPr>
          <w:rFonts w:asciiTheme="minorHAnsi" w:hAnsiTheme="minorHAnsi" w:cstheme="minorHAnsi"/>
          <w:color w:val="1F1F1F"/>
          <w:w w:val="105"/>
          <w:sz w:val="28"/>
          <w:szCs w:val="28"/>
        </w:rPr>
      </w:pPr>
      <w:r w:rsidRPr="004927AA">
        <w:rPr>
          <w:rFonts w:asciiTheme="minorHAnsi" w:hAnsiTheme="minorHAnsi" w:cstheme="minorHAnsi"/>
          <w:color w:val="1F1F1F"/>
          <w:w w:val="105"/>
          <w:sz w:val="28"/>
          <w:szCs w:val="28"/>
        </w:rPr>
        <w:t xml:space="preserve">The </w:t>
      </w:r>
      <w:r>
        <w:rPr>
          <w:rFonts w:asciiTheme="minorHAnsi" w:hAnsiTheme="minorHAnsi" w:cstheme="minorHAnsi"/>
          <w:color w:val="1F1F1F"/>
          <w:w w:val="105"/>
          <w:sz w:val="28"/>
          <w:szCs w:val="28"/>
        </w:rPr>
        <w:t xml:space="preserve">initial </w:t>
      </w:r>
      <w:r w:rsidRPr="004927AA">
        <w:rPr>
          <w:rFonts w:asciiTheme="minorHAnsi" w:hAnsiTheme="minorHAnsi" w:cstheme="minorHAnsi"/>
          <w:color w:val="1F1F1F"/>
          <w:w w:val="105"/>
          <w:sz w:val="28"/>
          <w:szCs w:val="28"/>
        </w:rPr>
        <w:t xml:space="preserve">draft study was published on June 19, 2019.  Following a review process with stakeholders, written feedback regarding the draft Study was due to Grant PUD by July 10, 2019.  The Irrigation Districts and USBR submitted comments and questions on this date.  Grant PUD updated the COSS study and responded to the parties’ comments on July 25, 2019.  Grant PUD responded to the remaining questions on August 5, 2019.  </w:t>
      </w:r>
    </w:p>
    <w:p w:rsidR="004927AA" w:rsidRPr="004927AA" w:rsidRDefault="004927AA" w:rsidP="004927AA">
      <w:pPr>
        <w:autoSpaceDE w:val="0"/>
        <w:autoSpaceDN w:val="0"/>
        <w:adjustRightInd w:val="0"/>
        <w:spacing w:line="240" w:lineRule="auto"/>
        <w:rPr>
          <w:rFonts w:asciiTheme="minorHAnsi" w:hAnsiTheme="minorHAnsi" w:cstheme="minorHAnsi"/>
          <w:color w:val="1F1F1F"/>
          <w:w w:val="105"/>
          <w:sz w:val="28"/>
          <w:szCs w:val="28"/>
        </w:rPr>
      </w:pPr>
    </w:p>
    <w:p w:rsidR="004927AA" w:rsidRPr="004927AA" w:rsidRDefault="004927AA" w:rsidP="004927AA">
      <w:pPr>
        <w:spacing w:line="240" w:lineRule="auto"/>
        <w:rPr>
          <w:rFonts w:asciiTheme="minorHAnsi" w:hAnsiTheme="minorHAnsi" w:cstheme="minorHAnsi"/>
          <w:sz w:val="28"/>
          <w:szCs w:val="28"/>
        </w:rPr>
      </w:pPr>
      <w:r w:rsidRPr="004927AA">
        <w:rPr>
          <w:rFonts w:asciiTheme="minorHAnsi" w:hAnsiTheme="minorHAnsi" w:cstheme="minorHAnsi"/>
          <w:color w:val="1F1F1F"/>
          <w:w w:val="105"/>
          <w:sz w:val="28"/>
          <w:szCs w:val="28"/>
        </w:rPr>
        <w:t>The Bonneville Power Authority (BPA) submitted its comments and questions to Grant PUD on August 5, 2019.  Grand County responded to these comments and questions on August 12, 2019.  USBR submitted comments to Grant PUD on August 27, 2019</w:t>
      </w:r>
      <w:r w:rsidR="001E61FB">
        <w:rPr>
          <w:rFonts w:asciiTheme="minorHAnsi" w:hAnsiTheme="minorHAnsi" w:cstheme="minorHAnsi"/>
          <w:color w:val="1F1F1F"/>
          <w:w w:val="105"/>
          <w:sz w:val="28"/>
          <w:szCs w:val="28"/>
        </w:rPr>
        <w:t xml:space="preserve"> and Grant PUD responded to these comments on September 26, 2019</w:t>
      </w:r>
      <w:r w:rsidRPr="004927AA">
        <w:rPr>
          <w:rFonts w:asciiTheme="minorHAnsi" w:hAnsiTheme="minorHAnsi" w:cstheme="minorHAnsi"/>
          <w:color w:val="1F1F1F"/>
          <w:w w:val="105"/>
          <w:sz w:val="28"/>
          <w:szCs w:val="28"/>
        </w:rPr>
        <w:t xml:space="preserve">.  </w:t>
      </w:r>
      <w:r w:rsidR="001E61FB">
        <w:rPr>
          <w:rFonts w:asciiTheme="minorHAnsi" w:hAnsiTheme="minorHAnsi" w:cstheme="minorHAnsi"/>
          <w:color w:val="1F1F1F"/>
          <w:w w:val="105"/>
          <w:sz w:val="28"/>
          <w:szCs w:val="28"/>
        </w:rPr>
        <w:t xml:space="preserve">In addition, USBR submitted additional questions to Grant PUD on December 4, 2019. </w:t>
      </w:r>
      <w:r w:rsidRPr="004927AA">
        <w:rPr>
          <w:rFonts w:asciiTheme="minorHAnsi" w:hAnsiTheme="minorHAnsi" w:cstheme="minorHAnsi"/>
          <w:color w:val="1F1F1F"/>
          <w:w w:val="105"/>
          <w:sz w:val="28"/>
          <w:szCs w:val="28"/>
        </w:rPr>
        <w:t>The following are Grant PUD’s responses to th</w:t>
      </w:r>
      <w:r w:rsidR="008007F4">
        <w:rPr>
          <w:rFonts w:asciiTheme="minorHAnsi" w:hAnsiTheme="minorHAnsi" w:cstheme="minorHAnsi"/>
          <w:color w:val="1F1F1F"/>
          <w:w w:val="105"/>
          <w:sz w:val="28"/>
          <w:szCs w:val="28"/>
        </w:rPr>
        <w:t>o</w:t>
      </w:r>
      <w:r w:rsidRPr="004927AA">
        <w:rPr>
          <w:rFonts w:asciiTheme="minorHAnsi" w:hAnsiTheme="minorHAnsi" w:cstheme="minorHAnsi"/>
          <w:color w:val="1F1F1F"/>
          <w:w w:val="105"/>
          <w:sz w:val="28"/>
          <w:szCs w:val="28"/>
        </w:rPr>
        <w:t xml:space="preserve">se </w:t>
      </w:r>
      <w:r w:rsidR="008007F4">
        <w:rPr>
          <w:rFonts w:asciiTheme="minorHAnsi" w:hAnsiTheme="minorHAnsi" w:cstheme="minorHAnsi"/>
          <w:color w:val="1F1F1F"/>
          <w:w w:val="105"/>
          <w:sz w:val="28"/>
          <w:szCs w:val="28"/>
        </w:rPr>
        <w:t>questions</w:t>
      </w:r>
      <w:r w:rsidRPr="004927AA">
        <w:rPr>
          <w:rFonts w:asciiTheme="minorHAnsi" w:hAnsiTheme="minorHAnsi" w:cstheme="minorHAnsi"/>
          <w:color w:val="1F1F1F"/>
          <w:w w:val="105"/>
          <w:sz w:val="28"/>
          <w:szCs w:val="28"/>
        </w:rPr>
        <w:t>.</w:t>
      </w:r>
    </w:p>
    <w:p w:rsidR="004927AA" w:rsidRPr="004927AA" w:rsidRDefault="004927AA" w:rsidP="004927AA">
      <w:pPr>
        <w:spacing w:line="240" w:lineRule="auto"/>
        <w:rPr>
          <w:rFonts w:asciiTheme="minorHAnsi" w:hAnsiTheme="minorHAnsi" w:cstheme="minorHAnsi"/>
          <w:sz w:val="28"/>
          <w:szCs w:val="28"/>
        </w:rPr>
      </w:pPr>
    </w:p>
    <w:p w:rsidR="004927AA" w:rsidRPr="004927AA" w:rsidRDefault="004927AA" w:rsidP="004927AA">
      <w:pPr>
        <w:spacing w:line="240" w:lineRule="auto"/>
        <w:rPr>
          <w:rFonts w:asciiTheme="minorHAnsi" w:hAnsiTheme="minorHAnsi" w:cstheme="minorHAnsi"/>
          <w:sz w:val="28"/>
          <w:szCs w:val="28"/>
        </w:rPr>
      </w:pPr>
    </w:p>
    <w:p w:rsidR="004927AA" w:rsidRDefault="004927AA" w:rsidP="004927AA">
      <w:pPr>
        <w:spacing w:line="240" w:lineRule="auto"/>
        <w:rPr>
          <w:rFonts w:asciiTheme="minorHAnsi" w:hAnsiTheme="minorHAnsi" w:cstheme="minorHAnsi"/>
          <w:sz w:val="28"/>
          <w:szCs w:val="28"/>
        </w:rPr>
      </w:pPr>
      <w:r w:rsidRPr="004927AA">
        <w:rPr>
          <w:rFonts w:asciiTheme="minorHAnsi" w:hAnsiTheme="minorHAnsi" w:cstheme="minorHAnsi"/>
          <w:b/>
          <w:bCs/>
          <w:sz w:val="28"/>
          <w:szCs w:val="28"/>
          <w:u w:val="single"/>
        </w:rPr>
        <w:t xml:space="preserve">Question No. 1 - </w:t>
      </w:r>
      <w:r w:rsidRPr="004927AA">
        <w:rPr>
          <w:rFonts w:asciiTheme="minorHAnsi" w:hAnsiTheme="minorHAnsi" w:cstheme="minorHAnsi"/>
          <w:sz w:val="28"/>
          <w:szCs w:val="28"/>
        </w:rPr>
        <w:t>As part of Grant’s response to the set of questions that were submitted by Reclamation to Grant on August 27, 2019, Grant provided Reclamation with a copy of a document titled “Revised Exhibit A”. Revised Exhibit A (also attached here in Attachment A for reference) contains information regarding Grant’s 2018 labor costs that were utilized by the District in deriving the “Wages and Salary Allocators” that are shown on Lines 15-19 of Exhibit I to the August 12, 2019 version of Grant’s Transmission Cost of Service Study (“2019 COSS”).</w:t>
      </w:r>
      <w:r w:rsidR="001E61FB">
        <w:rPr>
          <w:rFonts w:asciiTheme="minorHAnsi" w:hAnsiTheme="minorHAnsi" w:cstheme="minorHAnsi"/>
          <w:sz w:val="28"/>
          <w:szCs w:val="28"/>
        </w:rPr>
        <w:t xml:space="preserve">  </w:t>
      </w:r>
      <w:r w:rsidRPr="004927AA">
        <w:rPr>
          <w:rFonts w:asciiTheme="minorHAnsi" w:hAnsiTheme="minorHAnsi" w:cstheme="minorHAnsi"/>
          <w:sz w:val="28"/>
          <w:szCs w:val="28"/>
        </w:rPr>
        <w:t>One of the labor categories shown in Revised Exhibit A is titled “Capital”. For 2018, the Grand Total figure for the Capital category is $22,753,086.54; however, based upon the calculations shown in this exhibit and the figures shown on Lines 15-19 of Exhibit I, the Capital labor costs were not incorporated into calculation of the “WST” and “WSD” cost allocators in the 2019 COSS. Please explain why 2018 labor costs associated with the Capital category were not included in the calculation of the labor cost-based WST and WSD allocators.</w:t>
      </w:r>
    </w:p>
    <w:p w:rsidR="0019003A" w:rsidRDefault="001E61FB" w:rsidP="007020F9">
      <w:pPr>
        <w:spacing w:line="240" w:lineRule="auto"/>
        <w:ind w:left="720"/>
        <w:rPr>
          <w:rFonts w:asciiTheme="minorHAnsi" w:hAnsiTheme="minorHAnsi" w:cstheme="minorHAnsi"/>
          <w:color w:val="FF0000"/>
          <w:sz w:val="28"/>
          <w:szCs w:val="28"/>
        </w:rPr>
      </w:pPr>
      <w:r w:rsidRPr="007020F9">
        <w:rPr>
          <w:rFonts w:asciiTheme="minorHAnsi" w:hAnsiTheme="minorHAnsi" w:cstheme="minorHAnsi"/>
          <w:color w:val="FF0000"/>
          <w:sz w:val="28"/>
          <w:szCs w:val="28"/>
        </w:rPr>
        <w:lastRenderedPageBreak/>
        <w:t xml:space="preserve">Grant PUD’s </w:t>
      </w:r>
      <w:r w:rsidR="0019003A">
        <w:rPr>
          <w:rFonts w:asciiTheme="minorHAnsi" w:hAnsiTheme="minorHAnsi" w:cstheme="minorHAnsi"/>
          <w:color w:val="FF0000"/>
          <w:sz w:val="28"/>
          <w:szCs w:val="28"/>
        </w:rPr>
        <w:t xml:space="preserve">2018 </w:t>
      </w:r>
      <w:r w:rsidRPr="007020F9">
        <w:rPr>
          <w:rFonts w:asciiTheme="minorHAnsi" w:hAnsiTheme="minorHAnsi" w:cstheme="minorHAnsi"/>
          <w:color w:val="FF0000"/>
          <w:sz w:val="28"/>
          <w:szCs w:val="28"/>
        </w:rPr>
        <w:t xml:space="preserve">total labor expense </w:t>
      </w:r>
      <w:r w:rsidR="002A5B08">
        <w:rPr>
          <w:rFonts w:asciiTheme="minorHAnsi" w:hAnsiTheme="minorHAnsi" w:cstheme="minorHAnsi"/>
          <w:color w:val="FF0000"/>
          <w:sz w:val="28"/>
          <w:szCs w:val="28"/>
        </w:rPr>
        <w:t>was</w:t>
      </w:r>
      <w:r w:rsidRPr="007020F9">
        <w:rPr>
          <w:rFonts w:asciiTheme="minorHAnsi" w:hAnsiTheme="minorHAnsi" w:cstheme="minorHAnsi"/>
          <w:color w:val="FF0000"/>
          <w:sz w:val="28"/>
          <w:szCs w:val="28"/>
        </w:rPr>
        <w:t xml:space="preserve"> 97,544,956.21, as reflected on </w:t>
      </w:r>
      <w:r w:rsidR="00A217ED" w:rsidRPr="007020F9">
        <w:rPr>
          <w:rFonts w:asciiTheme="minorHAnsi" w:hAnsiTheme="minorHAnsi" w:cstheme="minorHAnsi"/>
          <w:color w:val="FF0000"/>
          <w:sz w:val="28"/>
          <w:szCs w:val="28"/>
        </w:rPr>
        <w:t>“Revised Exhibit A”</w:t>
      </w:r>
      <w:r w:rsidR="00E97259">
        <w:rPr>
          <w:rFonts w:asciiTheme="minorHAnsi" w:hAnsiTheme="minorHAnsi" w:cstheme="minorHAnsi"/>
          <w:color w:val="FF0000"/>
          <w:sz w:val="28"/>
          <w:szCs w:val="28"/>
        </w:rPr>
        <w:t xml:space="preserve"> and </w:t>
      </w:r>
      <w:r w:rsidR="00EC5B6C">
        <w:rPr>
          <w:rFonts w:asciiTheme="minorHAnsi" w:hAnsiTheme="minorHAnsi" w:cstheme="minorHAnsi"/>
          <w:color w:val="FF0000"/>
          <w:sz w:val="28"/>
          <w:szCs w:val="28"/>
        </w:rPr>
        <w:t>summarized in the following table</w:t>
      </w:r>
      <w:r w:rsidR="002A5B08">
        <w:rPr>
          <w:rFonts w:asciiTheme="minorHAnsi" w:hAnsiTheme="minorHAnsi" w:cstheme="minorHAnsi"/>
          <w:color w:val="FF0000"/>
          <w:sz w:val="28"/>
          <w:szCs w:val="28"/>
        </w:rPr>
        <w:t xml:space="preserve"> (see Column 2)</w:t>
      </w:r>
      <w:r w:rsidR="0019003A">
        <w:rPr>
          <w:rFonts w:asciiTheme="minorHAnsi" w:hAnsiTheme="minorHAnsi" w:cstheme="minorHAnsi"/>
          <w:color w:val="FF0000"/>
          <w:sz w:val="28"/>
          <w:szCs w:val="28"/>
        </w:rPr>
        <w:t>:</w:t>
      </w:r>
    </w:p>
    <w:p w:rsidR="0019003A" w:rsidRDefault="0019003A" w:rsidP="007020F9">
      <w:pPr>
        <w:spacing w:line="240" w:lineRule="auto"/>
        <w:ind w:left="720"/>
        <w:rPr>
          <w:rFonts w:asciiTheme="minorHAnsi" w:hAnsiTheme="minorHAnsi" w:cstheme="minorHAnsi"/>
          <w:color w:val="FF0000"/>
          <w:sz w:val="28"/>
          <w:szCs w:val="28"/>
        </w:rPr>
      </w:pPr>
    </w:p>
    <w:p w:rsidR="00B61A19" w:rsidRDefault="00B61A19" w:rsidP="00B61A19">
      <w:pPr>
        <w:spacing w:after="120" w:line="240" w:lineRule="auto"/>
        <w:ind w:left="720"/>
        <w:rPr>
          <w:rFonts w:asciiTheme="minorHAnsi" w:hAnsiTheme="minorHAnsi" w:cstheme="minorHAnsi"/>
          <w:color w:val="FF0000"/>
          <w:sz w:val="28"/>
          <w:szCs w:val="28"/>
        </w:rPr>
      </w:pPr>
      <w:r>
        <w:rPr>
          <w:rFonts w:asciiTheme="minorHAnsi" w:hAnsiTheme="minorHAnsi" w:cstheme="minorHAnsi"/>
          <w:color w:val="FF0000"/>
          <w:sz w:val="28"/>
          <w:szCs w:val="28"/>
        </w:rPr>
        <w:t>Table 1: 2018 Labor, by Function and Allocation Factor Development</w:t>
      </w:r>
    </w:p>
    <w:tbl>
      <w:tblPr>
        <w:tblStyle w:val="TableGrid"/>
        <w:tblW w:w="0" w:type="auto"/>
        <w:tblInd w:w="720" w:type="dxa"/>
        <w:tblLook w:val="04A0" w:firstRow="1" w:lastRow="0" w:firstColumn="1" w:lastColumn="0" w:noHBand="0" w:noVBand="1"/>
      </w:tblPr>
      <w:tblGrid>
        <w:gridCol w:w="3039"/>
        <w:gridCol w:w="1988"/>
        <w:gridCol w:w="2092"/>
        <w:gridCol w:w="1511"/>
      </w:tblGrid>
      <w:tr w:rsidR="00622471" w:rsidTr="00622471">
        <w:tc>
          <w:tcPr>
            <w:tcW w:w="3415" w:type="dxa"/>
          </w:tcPr>
          <w:p w:rsidR="00E97259" w:rsidRDefault="00E97259" w:rsidP="00E97259">
            <w:pPr>
              <w:spacing w:line="240" w:lineRule="auto"/>
              <w:jc w:val="center"/>
              <w:rPr>
                <w:rFonts w:asciiTheme="minorHAnsi" w:hAnsiTheme="minorHAnsi" w:cstheme="minorHAnsi"/>
                <w:color w:val="FF0000"/>
                <w:sz w:val="28"/>
                <w:szCs w:val="28"/>
              </w:rPr>
            </w:pPr>
          </w:p>
          <w:p w:rsidR="00E97259" w:rsidRDefault="00E97259" w:rsidP="00E97259">
            <w:pPr>
              <w:spacing w:line="240" w:lineRule="auto"/>
              <w:jc w:val="center"/>
              <w:rPr>
                <w:rFonts w:asciiTheme="minorHAnsi" w:hAnsiTheme="minorHAnsi" w:cstheme="minorHAnsi"/>
                <w:color w:val="FF0000"/>
                <w:sz w:val="28"/>
                <w:szCs w:val="28"/>
              </w:rPr>
            </w:pPr>
          </w:p>
          <w:p w:rsidR="00E97259" w:rsidRDefault="00E97259" w:rsidP="00E97259">
            <w:pPr>
              <w:spacing w:line="240" w:lineRule="auto"/>
              <w:jc w:val="center"/>
              <w:rPr>
                <w:rFonts w:asciiTheme="minorHAnsi" w:hAnsiTheme="minorHAnsi" w:cstheme="minorHAnsi"/>
                <w:color w:val="FF0000"/>
                <w:sz w:val="28"/>
                <w:szCs w:val="28"/>
              </w:rPr>
            </w:pPr>
          </w:p>
          <w:p w:rsidR="002A5B08" w:rsidRDefault="002A5B08" w:rsidP="00E97259">
            <w:pPr>
              <w:spacing w:line="240" w:lineRule="auto"/>
              <w:jc w:val="center"/>
              <w:rPr>
                <w:rFonts w:asciiTheme="minorHAnsi" w:hAnsiTheme="minorHAnsi" w:cstheme="minorHAnsi"/>
                <w:color w:val="FF0000"/>
                <w:sz w:val="28"/>
                <w:szCs w:val="28"/>
              </w:rPr>
            </w:pPr>
          </w:p>
          <w:p w:rsidR="0019003A" w:rsidRDefault="005444C0" w:rsidP="00E97259">
            <w:pPr>
              <w:spacing w:line="240" w:lineRule="auto"/>
              <w:jc w:val="center"/>
              <w:rPr>
                <w:rFonts w:asciiTheme="minorHAnsi" w:hAnsiTheme="minorHAnsi" w:cstheme="minorHAnsi"/>
                <w:color w:val="FF0000"/>
                <w:sz w:val="28"/>
                <w:szCs w:val="28"/>
              </w:rPr>
            </w:pPr>
            <w:r>
              <w:rPr>
                <w:rFonts w:asciiTheme="minorHAnsi" w:hAnsiTheme="minorHAnsi" w:cstheme="minorHAnsi"/>
                <w:color w:val="FF0000"/>
                <w:sz w:val="28"/>
                <w:szCs w:val="28"/>
              </w:rPr>
              <w:t>Types of Labor</w:t>
            </w:r>
          </w:p>
        </w:tc>
        <w:tc>
          <w:tcPr>
            <w:tcW w:w="1579" w:type="dxa"/>
          </w:tcPr>
          <w:p w:rsidR="00E97259" w:rsidRDefault="00E97259" w:rsidP="00E97259">
            <w:pPr>
              <w:spacing w:line="240" w:lineRule="auto"/>
              <w:jc w:val="center"/>
              <w:rPr>
                <w:rFonts w:asciiTheme="minorHAnsi" w:hAnsiTheme="minorHAnsi" w:cstheme="minorHAnsi"/>
                <w:color w:val="FF0000"/>
                <w:sz w:val="28"/>
                <w:szCs w:val="28"/>
              </w:rPr>
            </w:pPr>
          </w:p>
          <w:p w:rsidR="00E97259" w:rsidRDefault="00E97259" w:rsidP="00E97259">
            <w:pPr>
              <w:spacing w:line="240" w:lineRule="auto"/>
              <w:jc w:val="center"/>
              <w:rPr>
                <w:rFonts w:asciiTheme="minorHAnsi" w:hAnsiTheme="minorHAnsi" w:cstheme="minorHAnsi"/>
                <w:color w:val="FF0000"/>
                <w:sz w:val="28"/>
                <w:szCs w:val="28"/>
              </w:rPr>
            </w:pPr>
          </w:p>
          <w:p w:rsidR="00E97259" w:rsidRDefault="00E97259" w:rsidP="00E97259">
            <w:pPr>
              <w:spacing w:line="240" w:lineRule="auto"/>
              <w:jc w:val="center"/>
              <w:rPr>
                <w:rFonts w:asciiTheme="minorHAnsi" w:hAnsiTheme="minorHAnsi" w:cstheme="minorHAnsi"/>
                <w:color w:val="FF0000"/>
                <w:sz w:val="28"/>
                <w:szCs w:val="28"/>
              </w:rPr>
            </w:pPr>
          </w:p>
          <w:p w:rsidR="002A5B08" w:rsidRDefault="002A5B08" w:rsidP="00E97259">
            <w:pPr>
              <w:spacing w:line="240" w:lineRule="auto"/>
              <w:jc w:val="center"/>
              <w:rPr>
                <w:rFonts w:asciiTheme="minorHAnsi" w:hAnsiTheme="minorHAnsi" w:cstheme="minorHAnsi"/>
                <w:color w:val="FF0000"/>
                <w:sz w:val="28"/>
                <w:szCs w:val="28"/>
              </w:rPr>
            </w:pPr>
          </w:p>
          <w:p w:rsidR="0019003A" w:rsidRDefault="005444C0" w:rsidP="00E97259">
            <w:pPr>
              <w:spacing w:line="240" w:lineRule="auto"/>
              <w:jc w:val="center"/>
              <w:rPr>
                <w:rFonts w:asciiTheme="minorHAnsi" w:hAnsiTheme="minorHAnsi" w:cstheme="minorHAnsi"/>
                <w:color w:val="FF0000"/>
                <w:sz w:val="28"/>
                <w:szCs w:val="28"/>
              </w:rPr>
            </w:pPr>
            <w:r>
              <w:rPr>
                <w:rFonts w:asciiTheme="minorHAnsi" w:hAnsiTheme="minorHAnsi" w:cstheme="minorHAnsi"/>
                <w:color w:val="FF0000"/>
                <w:sz w:val="28"/>
                <w:szCs w:val="28"/>
              </w:rPr>
              <w:t>2018 Labor $</w:t>
            </w:r>
          </w:p>
        </w:tc>
        <w:tc>
          <w:tcPr>
            <w:tcW w:w="2122" w:type="dxa"/>
          </w:tcPr>
          <w:p w:rsidR="0019003A" w:rsidRDefault="005444C0" w:rsidP="00E97259">
            <w:pPr>
              <w:spacing w:line="240" w:lineRule="auto"/>
              <w:jc w:val="center"/>
              <w:rPr>
                <w:rFonts w:asciiTheme="minorHAnsi" w:hAnsiTheme="minorHAnsi" w:cstheme="minorHAnsi"/>
                <w:color w:val="FF0000"/>
                <w:sz w:val="28"/>
                <w:szCs w:val="28"/>
              </w:rPr>
            </w:pPr>
            <w:r>
              <w:rPr>
                <w:rFonts w:asciiTheme="minorHAnsi" w:hAnsiTheme="minorHAnsi" w:cstheme="minorHAnsi"/>
                <w:color w:val="FF0000"/>
                <w:sz w:val="28"/>
                <w:szCs w:val="28"/>
              </w:rPr>
              <w:t xml:space="preserve">Labor Used </w:t>
            </w:r>
            <w:r w:rsidR="007F3D07">
              <w:rPr>
                <w:rFonts w:asciiTheme="minorHAnsi" w:hAnsiTheme="minorHAnsi" w:cstheme="minorHAnsi"/>
                <w:color w:val="FF0000"/>
                <w:sz w:val="28"/>
                <w:szCs w:val="28"/>
              </w:rPr>
              <w:t>t</w:t>
            </w:r>
            <w:r>
              <w:rPr>
                <w:rFonts w:asciiTheme="minorHAnsi" w:hAnsiTheme="minorHAnsi" w:cstheme="minorHAnsi"/>
                <w:color w:val="FF0000"/>
                <w:sz w:val="28"/>
                <w:szCs w:val="28"/>
              </w:rPr>
              <w:t>o Allocated General Expense and Plant Accounts</w:t>
            </w:r>
          </w:p>
        </w:tc>
        <w:tc>
          <w:tcPr>
            <w:tcW w:w="1514" w:type="dxa"/>
          </w:tcPr>
          <w:p w:rsidR="00E97259" w:rsidRDefault="00E97259" w:rsidP="00E97259">
            <w:pPr>
              <w:spacing w:line="240" w:lineRule="auto"/>
              <w:jc w:val="center"/>
              <w:rPr>
                <w:rFonts w:asciiTheme="minorHAnsi" w:hAnsiTheme="minorHAnsi" w:cstheme="minorHAnsi"/>
                <w:color w:val="FF0000"/>
                <w:sz w:val="28"/>
                <w:szCs w:val="28"/>
              </w:rPr>
            </w:pPr>
          </w:p>
          <w:p w:rsidR="00E97259" w:rsidRDefault="00E97259" w:rsidP="00E97259">
            <w:pPr>
              <w:spacing w:line="240" w:lineRule="auto"/>
              <w:jc w:val="center"/>
              <w:rPr>
                <w:rFonts w:asciiTheme="minorHAnsi" w:hAnsiTheme="minorHAnsi" w:cstheme="minorHAnsi"/>
                <w:color w:val="FF0000"/>
                <w:sz w:val="28"/>
                <w:szCs w:val="28"/>
              </w:rPr>
            </w:pPr>
          </w:p>
          <w:p w:rsidR="002A5B08" w:rsidRDefault="002A5B08" w:rsidP="00E97259">
            <w:pPr>
              <w:spacing w:line="240" w:lineRule="auto"/>
              <w:jc w:val="center"/>
              <w:rPr>
                <w:rFonts w:asciiTheme="minorHAnsi" w:hAnsiTheme="minorHAnsi" w:cstheme="minorHAnsi"/>
                <w:color w:val="FF0000"/>
                <w:sz w:val="28"/>
                <w:szCs w:val="28"/>
              </w:rPr>
            </w:pPr>
          </w:p>
          <w:p w:rsidR="0019003A" w:rsidRDefault="005444C0" w:rsidP="00E97259">
            <w:pPr>
              <w:spacing w:line="240" w:lineRule="auto"/>
              <w:jc w:val="center"/>
              <w:rPr>
                <w:rFonts w:asciiTheme="minorHAnsi" w:hAnsiTheme="minorHAnsi" w:cstheme="minorHAnsi"/>
                <w:color w:val="FF0000"/>
                <w:sz w:val="28"/>
                <w:szCs w:val="28"/>
              </w:rPr>
            </w:pPr>
            <w:r>
              <w:rPr>
                <w:rFonts w:asciiTheme="minorHAnsi" w:hAnsiTheme="minorHAnsi" w:cstheme="minorHAnsi"/>
                <w:color w:val="FF0000"/>
                <w:sz w:val="28"/>
                <w:szCs w:val="28"/>
              </w:rPr>
              <w:t>Allocation</w:t>
            </w:r>
            <w:r w:rsidR="00E97259">
              <w:rPr>
                <w:rFonts w:asciiTheme="minorHAnsi" w:hAnsiTheme="minorHAnsi" w:cstheme="minorHAnsi"/>
                <w:color w:val="FF0000"/>
                <w:sz w:val="28"/>
                <w:szCs w:val="28"/>
              </w:rPr>
              <w:t xml:space="preserve"> Percentage</w:t>
            </w:r>
          </w:p>
        </w:tc>
      </w:tr>
      <w:tr w:rsidR="002A5B08" w:rsidTr="00622471">
        <w:tc>
          <w:tcPr>
            <w:tcW w:w="3415" w:type="dxa"/>
          </w:tcPr>
          <w:p w:rsidR="002A5B08" w:rsidRDefault="002A5B08" w:rsidP="002A5B08">
            <w:pPr>
              <w:spacing w:line="240" w:lineRule="auto"/>
              <w:jc w:val="center"/>
              <w:rPr>
                <w:rFonts w:asciiTheme="minorHAnsi" w:hAnsiTheme="minorHAnsi" w:cstheme="minorHAnsi"/>
                <w:color w:val="FF0000"/>
                <w:sz w:val="28"/>
                <w:szCs w:val="28"/>
              </w:rPr>
            </w:pPr>
            <w:r>
              <w:rPr>
                <w:rFonts w:asciiTheme="minorHAnsi" w:hAnsiTheme="minorHAnsi" w:cstheme="minorHAnsi"/>
                <w:color w:val="FF0000"/>
                <w:sz w:val="28"/>
                <w:szCs w:val="28"/>
              </w:rPr>
              <w:t>(1)</w:t>
            </w:r>
          </w:p>
        </w:tc>
        <w:tc>
          <w:tcPr>
            <w:tcW w:w="1579" w:type="dxa"/>
          </w:tcPr>
          <w:p w:rsidR="002A5B08" w:rsidRDefault="002A5B08" w:rsidP="002A5B08">
            <w:pPr>
              <w:spacing w:line="240" w:lineRule="auto"/>
              <w:jc w:val="center"/>
              <w:rPr>
                <w:rFonts w:asciiTheme="minorHAnsi" w:hAnsiTheme="minorHAnsi" w:cstheme="minorHAnsi"/>
                <w:color w:val="FF0000"/>
                <w:sz w:val="28"/>
                <w:szCs w:val="28"/>
              </w:rPr>
            </w:pPr>
            <w:r>
              <w:rPr>
                <w:rFonts w:asciiTheme="minorHAnsi" w:hAnsiTheme="minorHAnsi" w:cstheme="minorHAnsi"/>
                <w:color w:val="FF0000"/>
                <w:sz w:val="28"/>
                <w:szCs w:val="28"/>
              </w:rPr>
              <w:t>(2)</w:t>
            </w:r>
          </w:p>
        </w:tc>
        <w:tc>
          <w:tcPr>
            <w:tcW w:w="2122" w:type="dxa"/>
          </w:tcPr>
          <w:p w:rsidR="002A5B08" w:rsidRDefault="002A5B08" w:rsidP="002A5B08">
            <w:pPr>
              <w:spacing w:line="240" w:lineRule="auto"/>
              <w:jc w:val="center"/>
              <w:rPr>
                <w:rFonts w:asciiTheme="minorHAnsi" w:hAnsiTheme="minorHAnsi" w:cstheme="minorHAnsi"/>
                <w:color w:val="FF0000"/>
                <w:sz w:val="28"/>
                <w:szCs w:val="28"/>
              </w:rPr>
            </w:pPr>
            <w:r>
              <w:rPr>
                <w:rFonts w:asciiTheme="minorHAnsi" w:hAnsiTheme="minorHAnsi" w:cstheme="minorHAnsi"/>
                <w:color w:val="FF0000"/>
                <w:sz w:val="28"/>
                <w:szCs w:val="28"/>
              </w:rPr>
              <w:t>(3)</w:t>
            </w:r>
          </w:p>
        </w:tc>
        <w:tc>
          <w:tcPr>
            <w:tcW w:w="1514" w:type="dxa"/>
          </w:tcPr>
          <w:p w:rsidR="002A5B08" w:rsidRDefault="002A5B08" w:rsidP="002A5B08">
            <w:pPr>
              <w:spacing w:line="240" w:lineRule="auto"/>
              <w:jc w:val="center"/>
              <w:rPr>
                <w:rFonts w:asciiTheme="minorHAnsi" w:hAnsiTheme="minorHAnsi" w:cstheme="minorHAnsi"/>
                <w:color w:val="FF0000"/>
                <w:sz w:val="28"/>
                <w:szCs w:val="28"/>
              </w:rPr>
            </w:pPr>
            <w:r>
              <w:rPr>
                <w:rFonts w:asciiTheme="minorHAnsi" w:hAnsiTheme="minorHAnsi" w:cstheme="minorHAnsi"/>
                <w:color w:val="FF0000"/>
                <w:sz w:val="28"/>
                <w:szCs w:val="28"/>
              </w:rPr>
              <w:t>(4)</w:t>
            </w:r>
          </w:p>
        </w:tc>
      </w:tr>
      <w:tr w:rsidR="00622471" w:rsidTr="00622471">
        <w:tc>
          <w:tcPr>
            <w:tcW w:w="3415" w:type="dxa"/>
          </w:tcPr>
          <w:p w:rsidR="005444C0" w:rsidRDefault="005444C0" w:rsidP="005444C0">
            <w:pPr>
              <w:spacing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Direct Generation</w:t>
            </w:r>
            <w:r w:rsidR="00622471">
              <w:rPr>
                <w:rFonts w:asciiTheme="minorHAnsi" w:hAnsiTheme="minorHAnsi" w:cstheme="minorHAnsi"/>
                <w:color w:val="FF0000"/>
                <w:sz w:val="28"/>
                <w:szCs w:val="28"/>
              </w:rPr>
              <w:t xml:space="preserve"> WSG</w:t>
            </w:r>
          </w:p>
        </w:tc>
        <w:tc>
          <w:tcPr>
            <w:tcW w:w="1579"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$21,922,194.55</w:t>
            </w:r>
          </w:p>
        </w:tc>
        <w:tc>
          <w:tcPr>
            <w:tcW w:w="2122"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$21,922,194.55</w:t>
            </w:r>
          </w:p>
        </w:tc>
        <w:tc>
          <w:tcPr>
            <w:tcW w:w="1514" w:type="dxa"/>
          </w:tcPr>
          <w:p w:rsidR="005444C0" w:rsidRDefault="00E97259" w:rsidP="00E97259">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51.31%</w:t>
            </w:r>
          </w:p>
        </w:tc>
      </w:tr>
      <w:tr w:rsidR="00622471" w:rsidTr="00622471">
        <w:tc>
          <w:tcPr>
            <w:tcW w:w="3415" w:type="dxa"/>
          </w:tcPr>
          <w:p w:rsidR="005444C0" w:rsidRDefault="005444C0" w:rsidP="005444C0">
            <w:pPr>
              <w:spacing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Direct Transmission</w:t>
            </w:r>
            <w:r w:rsidR="00622471">
              <w:rPr>
                <w:rFonts w:asciiTheme="minorHAnsi" w:hAnsiTheme="minorHAnsi" w:cstheme="minorHAnsi"/>
                <w:color w:val="FF0000"/>
                <w:sz w:val="28"/>
                <w:szCs w:val="28"/>
              </w:rPr>
              <w:t xml:space="preserve"> WST</w:t>
            </w:r>
          </w:p>
        </w:tc>
        <w:tc>
          <w:tcPr>
            <w:tcW w:w="1579"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$6,325,809.23</w:t>
            </w:r>
          </w:p>
        </w:tc>
        <w:tc>
          <w:tcPr>
            <w:tcW w:w="2122"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$6,325,809.23</w:t>
            </w:r>
          </w:p>
        </w:tc>
        <w:tc>
          <w:tcPr>
            <w:tcW w:w="1514" w:type="dxa"/>
          </w:tcPr>
          <w:p w:rsidR="005444C0" w:rsidRDefault="00E97259" w:rsidP="00E97259">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14.80%</w:t>
            </w:r>
          </w:p>
        </w:tc>
      </w:tr>
      <w:tr w:rsidR="00622471" w:rsidTr="00622471">
        <w:tc>
          <w:tcPr>
            <w:tcW w:w="3415" w:type="dxa"/>
          </w:tcPr>
          <w:p w:rsidR="005444C0" w:rsidRDefault="005444C0" w:rsidP="005444C0">
            <w:pPr>
              <w:spacing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Direct Distribution</w:t>
            </w:r>
            <w:r w:rsidR="00622471">
              <w:rPr>
                <w:rFonts w:asciiTheme="minorHAnsi" w:hAnsiTheme="minorHAnsi" w:cstheme="minorHAnsi"/>
                <w:color w:val="FF0000"/>
                <w:sz w:val="28"/>
                <w:szCs w:val="28"/>
              </w:rPr>
              <w:t xml:space="preserve"> WSD</w:t>
            </w:r>
          </w:p>
        </w:tc>
        <w:tc>
          <w:tcPr>
            <w:tcW w:w="1579"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$9,684,507.81</w:t>
            </w:r>
          </w:p>
        </w:tc>
        <w:tc>
          <w:tcPr>
            <w:tcW w:w="2122"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$9,684,507.81</w:t>
            </w:r>
          </w:p>
        </w:tc>
        <w:tc>
          <w:tcPr>
            <w:tcW w:w="1514" w:type="dxa"/>
          </w:tcPr>
          <w:p w:rsidR="005444C0" w:rsidRDefault="00E97259" w:rsidP="00E97259">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22.66%</w:t>
            </w:r>
          </w:p>
        </w:tc>
      </w:tr>
      <w:tr w:rsidR="00622471" w:rsidTr="00622471">
        <w:tc>
          <w:tcPr>
            <w:tcW w:w="3415" w:type="dxa"/>
          </w:tcPr>
          <w:p w:rsidR="005444C0" w:rsidRDefault="005444C0" w:rsidP="005444C0">
            <w:pPr>
              <w:spacing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A&amp;G Labor</w:t>
            </w:r>
          </w:p>
        </w:tc>
        <w:tc>
          <w:tcPr>
            <w:tcW w:w="1579"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$32,060,784.38</w:t>
            </w:r>
          </w:p>
        </w:tc>
        <w:tc>
          <w:tcPr>
            <w:tcW w:w="2122" w:type="dxa"/>
          </w:tcPr>
          <w:p w:rsidR="005444C0" w:rsidRDefault="005444C0" w:rsidP="005444C0">
            <w:pPr>
              <w:spacing w:line="240" w:lineRule="auto"/>
              <w:rPr>
                <w:rFonts w:asciiTheme="minorHAnsi" w:hAnsiTheme="minorHAnsi" w:cstheme="minorHAnsi"/>
                <w:color w:val="FF0000"/>
                <w:sz w:val="28"/>
                <w:szCs w:val="28"/>
              </w:rPr>
            </w:pPr>
          </w:p>
        </w:tc>
        <w:tc>
          <w:tcPr>
            <w:tcW w:w="1514" w:type="dxa"/>
          </w:tcPr>
          <w:p w:rsidR="005444C0" w:rsidRDefault="005444C0" w:rsidP="00E97259">
            <w:pPr>
              <w:spacing w:line="240" w:lineRule="auto"/>
              <w:jc w:val="right"/>
              <w:rPr>
                <w:rFonts w:asciiTheme="minorHAnsi" w:hAnsiTheme="minorHAnsi" w:cstheme="minorHAnsi"/>
                <w:color w:val="FF0000"/>
                <w:sz w:val="28"/>
                <w:szCs w:val="28"/>
              </w:rPr>
            </w:pPr>
          </w:p>
        </w:tc>
      </w:tr>
      <w:tr w:rsidR="00622471" w:rsidTr="00622471">
        <w:tc>
          <w:tcPr>
            <w:tcW w:w="3415" w:type="dxa"/>
          </w:tcPr>
          <w:p w:rsidR="005444C0" w:rsidRDefault="005444C0" w:rsidP="005444C0">
            <w:pPr>
              <w:spacing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Capital</w:t>
            </w:r>
          </w:p>
        </w:tc>
        <w:tc>
          <w:tcPr>
            <w:tcW w:w="1579"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$22,753,086.54</w:t>
            </w:r>
          </w:p>
        </w:tc>
        <w:tc>
          <w:tcPr>
            <w:tcW w:w="2122" w:type="dxa"/>
          </w:tcPr>
          <w:p w:rsidR="005444C0" w:rsidRDefault="005444C0" w:rsidP="005444C0">
            <w:pPr>
              <w:spacing w:line="240" w:lineRule="auto"/>
              <w:rPr>
                <w:rFonts w:asciiTheme="minorHAnsi" w:hAnsiTheme="minorHAnsi" w:cstheme="minorHAnsi"/>
                <w:color w:val="FF0000"/>
                <w:sz w:val="28"/>
                <w:szCs w:val="28"/>
              </w:rPr>
            </w:pPr>
          </w:p>
        </w:tc>
        <w:tc>
          <w:tcPr>
            <w:tcW w:w="1514" w:type="dxa"/>
          </w:tcPr>
          <w:p w:rsidR="005444C0" w:rsidRDefault="005444C0" w:rsidP="00E97259">
            <w:pPr>
              <w:spacing w:line="240" w:lineRule="auto"/>
              <w:jc w:val="right"/>
              <w:rPr>
                <w:rFonts w:asciiTheme="minorHAnsi" w:hAnsiTheme="minorHAnsi" w:cstheme="minorHAnsi"/>
                <w:color w:val="FF0000"/>
                <w:sz w:val="28"/>
                <w:szCs w:val="28"/>
              </w:rPr>
            </w:pPr>
          </w:p>
        </w:tc>
      </w:tr>
      <w:tr w:rsidR="00622471" w:rsidTr="00622471">
        <w:tc>
          <w:tcPr>
            <w:tcW w:w="3415" w:type="dxa"/>
          </w:tcPr>
          <w:p w:rsidR="005444C0" w:rsidRDefault="005444C0" w:rsidP="005444C0">
            <w:pPr>
              <w:spacing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Licensing</w:t>
            </w:r>
          </w:p>
        </w:tc>
        <w:tc>
          <w:tcPr>
            <w:tcW w:w="1579"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$4,749,934.43</w:t>
            </w:r>
          </w:p>
        </w:tc>
        <w:tc>
          <w:tcPr>
            <w:tcW w:w="2122"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$4,798,573.70</w:t>
            </w:r>
          </w:p>
        </w:tc>
        <w:tc>
          <w:tcPr>
            <w:tcW w:w="1514" w:type="dxa"/>
          </w:tcPr>
          <w:p w:rsidR="005444C0" w:rsidRDefault="00E97259" w:rsidP="00E97259">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11.23%</w:t>
            </w:r>
          </w:p>
        </w:tc>
      </w:tr>
      <w:tr w:rsidR="00622471" w:rsidTr="00622471">
        <w:tc>
          <w:tcPr>
            <w:tcW w:w="3415" w:type="dxa"/>
          </w:tcPr>
          <w:p w:rsidR="005444C0" w:rsidRDefault="005444C0" w:rsidP="005444C0">
            <w:pPr>
              <w:spacing w:line="240" w:lineRule="auto"/>
              <w:rPr>
                <w:rFonts w:asciiTheme="minorHAnsi" w:hAnsiTheme="minorHAnsi" w:cstheme="minorHAnsi"/>
                <w:color w:val="FF0000"/>
                <w:sz w:val="28"/>
                <w:szCs w:val="28"/>
              </w:rPr>
            </w:pPr>
            <w:proofErr w:type="gramStart"/>
            <w:r>
              <w:rPr>
                <w:rFonts w:asciiTheme="minorHAnsi" w:hAnsiTheme="minorHAnsi" w:cstheme="minorHAnsi"/>
                <w:color w:val="FF0000"/>
                <w:sz w:val="28"/>
                <w:szCs w:val="28"/>
              </w:rPr>
              <w:t>Other</w:t>
            </w:r>
            <w:proofErr w:type="gramEnd"/>
            <w:r>
              <w:rPr>
                <w:rFonts w:asciiTheme="minorHAnsi" w:hAnsiTheme="minorHAnsi" w:cstheme="minorHAnsi"/>
                <w:color w:val="FF0000"/>
                <w:sz w:val="28"/>
                <w:szCs w:val="28"/>
              </w:rPr>
              <w:t xml:space="preserve"> O&amp;M</w:t>
            </w:r>
          </w:p>
        </w:tc>
        <w:tc>
          <w:tcPr>
            <w:tcW w:w="1579"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$48,639.27</w:t>
            </w:r>
          </w:p>
        </w:tc>
        <w:tc>
          <w:tcPr>
            <w:tcW w:w="2122" w:type="dxa"/>
          </w:tcPr>
          <w:p w:rsidR="005444C0" w:rsidRDefault="005444C0" w:rsidP="005444C0">
            <w:pPr>
              <w:spacing w:line="240" w:lineRule="auto"/>
              <w:rPr>
                <w:rFonts w:asciiTheme="minorHAnsi" w:hAnsiTheme="minorHAnsi" w:cstheme="minorHAnsi"/>
                <w:color w:val="FF0000"/>
                <w:sz w:val="28"/>
                <w:szCs w:val="28"/>
              </w:rPr>
            </w:pPr>
          </w:p>
        </w:tc>
        <w:tc>
          <w:tcPr>
            <w:tcW w:w="1514" w:type="dxa"/>
          </w:tcPr>
          <w:p w:rsidR="005444C0" w:rsidRDefault="005444C0" w:rsidP="005444C0">
            <w:pPr>
              <w:spacing w:line="240" w:lineRule="auto"/>
              <w:rPr>
                <w:rFonts w:asciiTheme="minorHAnsi" w:hAnsiTheme="minorHAnsi" w:cstheme="minorHAnsi"/>
                <w:color w:val="FF0000"/>
                <w:sz w:val="28"/>
                <w:szCs w:val="28"/>
              </w:rPr>
            </w:pPr>
          </w:p>
        </w:tc>
      </w:tr>
      <w:tr w:rsidR="005444C0" w:rsidTr="00622471">
        <w:tc>
          <w:tcPr>
            <w:tcW w:w="3415" w:type="dxa"/>
          </w:tcPr>
          <w:p w:rsidR="005444C0" w:rsidRDefault="005444C0" w:rsidP="005444C0">
            <w:pPr>
              <w:spacing w:line="240" w:lineRule="auto"/>
              <w:rPr>
                <w:rFonts w:asciiTheme="minorHAnsi" w:hAnsiTheme="minorHAnsi" w:cstheme="minorHAnsi"/>
                <w:color w:val="FF0000"/>
                <w:sz w:val="28"/>
                <w:szCs w:val="28"/>
              </w:rPr>
            </w:pPr>
            <w:r>
              <w:rPr>
                <w:rFonts w:asciiTheme="minorHAnsi" w:hAnsiTheme="minorHAnsi" w:cstheme="minorHAnsi"/>
                <w:color w:val="FF0000"/>
                <w:sz w:val="28"/>
                <w:szCs w:val="28"/>
              </w:rPr>
              <w:t>Total Labor</w:t>
            </w:r>
          </w:p>
        </w:tc>
        <w:tc>
          <w:tcPr>
            <w:tcW w:w="1579"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$97,544,956.21</w:t>
            </w:r>
          </w:p>
        </w:tc>
        <w:tc>
          <w:tcPr>
            <w:tcW w:w="2122" w:type="dxa"/>
          </w:tcPr>
          <w:p w:rsidR="005444C0" w:rsidRDefault="005444C0" w:rsidP="005444C0">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$42,731,085.29</w:t>
            </w:r>
          </w:p>
        </w:tc>
        <w:tc>
          <w:tcPr>
            <w:tcW w:w="1514" w:type="dxa"/>
          </w:tcPr>
          <w:p w:rsidR="005444C0" w:rsidRDefault="00E97259" w:rsidP="00E97259">
            <w:pPr>
              <w:spacing w:line="240" w:lineRule="auto"/>
              <w:jc w:val="right"/>
              <w:rPr>
                <w:rFonts w:asciiTheme="minorHAnsi" w:hAnsiTheme="minorHAnsi" w:cstheme="minorHAnsi"/>
                <w:color w:val="FF0000"/>
                <w:sz w:val="28"/>
                <w:szCs w:val="28"/>
              </w:rPr>
            </w:pPr>
            <w:r>
              <w:rPr>
                <w:rFonts w:asciiTheme="minorHAnsi" w:hAnsiTheme="minorHAnsi" w:cstheme="minorHAnsi"/>
                <w:color w:val="FF0000"/>
                <w:sz w:val="28"/>
                <w:szCs w:val="28"/>
              </w:rPr>
              <w:t>100.00%</w:t>
            </w:r>
          </w:p>
        </w:tc>
      </w:tr>
    </w:tbl>
    <w:p w:rsidR="0019003A" w:rsidRDefault="0019003A" w:rsidP="007020F9">
      <w:pPr>
        <w:spacing w:line="240" w:lineRule="auto"/>
        <w:ind w:left="720"/>
        <w:rPr>
          <w:rFonts w:asciiTheme="minorHAnsi" w:hAnsiTheme="minorHAnsi" w:cstheme="minorHAnsi"/>
          <w:color w:val="FF0000"/>
          <w:sz w:val="28"/>
          <w:szCs w:val="28"/>
        </w:rPr>
      </w:pPr>
    </w:p>
    <w:p w:rsidR="001F414A" w:rsidRDefault="00EC5B6C" w:rsidP="001F414A">
      <w:pPr>
        <w:spacing w:line="240" w:lineRule="auto"/>
        <w:ind w:left="720"/>
        <w:rPr>
          <w:rFonts w:asciiTheme="minorHAnsi" w:hAnsiTheme="minorHAnsi" w:cstheme="minorHAnsi"/>
          <w:color w:val="FF0000"/>
          <w:sz w:val="28"/>
          <w:szCs w:val="28"/>
        </w:rPr>
      </w:pPr>
      <w:r>
        <w:rPr>
          <w:rFonts w:asciiTheme="minorHAnsi" w:hAnsiTheme="minorHAnsi" w:cstheme="minorHAnsi"/>
          <w:color w:val="FF0000"/>
          <w:sz w:val="28"/>
          <w:szCs w:val="28"/>
        </w:rPr>
        <w:t>Reflected in</w:t>
      </w:r>
      <w:r w:rsidRPr="007020F9">
        <w:rPr>
          <w:rFonts w:asciiTheme="minorHAnsi" w:hAnsiTheme="minorHAnsi" w:cstheme="minorHAnsi"/>
          <w:color w:val="FF0000"/>
          <w:sz w:val="28"/>
          <w:szCs w:val="28"/>
        </w:rPr>
        <w:t xml:space="preserve"> </w:t>
      </w:r>
      <w:r>
        <w:rPr>
          <w:rFonts w:asciiTheme="minorHAnsi" w:hAnsiTheme="minorHAnsi" w:cstheme="minorHAnsi"/>
          <w:color w:val="FF0000"/>
          <w:sz w:val="28"/>
          <w:szCs w:val="28"/>
        </w:rPr>
        <w:t xml:space="preserve">the </w:t>
      </w:r>
      <w:r w:rsidR="002A5B08">
        <w:rPr>
          <w:rFonts w:asciiTheme="minorHAnsi" w:hAnsiTheme="minorHAnsi" w:cstheme="minorHAnsi"/>
          <w:color w:val="FF0000"/>
          <w:sz w:val="28"/>
          <w:szCs w:val="28"/>
        </w:rPr>
        <w:t xml:space="preserve">Column 2 </w:t>
      </w:r>
      <w:r>
        <w:rPr>
          <w:rFonts w:asciiTheme="minorHAnsi" w:hAnsiTheme="minorHAnsi" w:cstheme="minorHAnsi"/>
          <w:color w:val="FF0000"/>
          <w:sz w:val="28"/>
          <w:szCs w:val="28"/>
        </w:rPr>
        <w:t xml:space="preserve">Total labor amount is </w:t>
      </w:r>
      <w:r w:rsidRPr="007020F9">
        <w:rPr>
          <w:rFonts w:asciiTheme="minorHAnsi" w:hAnsiTheme="minorHAnsi" w:cstheme="minorHAnsi"/>
          <w:color w:val="FF0000"/>
          <w:sz w:val="28"/>
          <w:szCs w:val="28"/>
        </w:rPr>
        <w:t>Capital labor</w:t>
      </w:r>
      <w:r>
        <w:rPr>
          <w:rFonts w:asciiTheme="minorHAnsi" w:hAnsiTheme="minorHAnsi" w:cstheme="minorHAnsi"/>
          <w:color w:val="FF0000"/>
          <w:sz w:val="28"/>
          <w:szCs w:val="28"/>
        </w:rPr>
        <w:t xml:space="preserve"> of</w:t>
      </w:r>
      <w:r w:rsidRPr="007020F9">
        <w:rPr>
          <w:rFonts w:asciiTheme="minorHAnsi" w:hAnsiTheme="minorHAnsi" w:cstheme="minorHAnsi"/>
          <w:color w:val="FF0000"/>
          <w:sz w:val="28"/>
          <w:szCs w:val="28"/>
        </w:rPr>
        <w:t xml:space="preserve"> $22,753,086.54 which represents labor</w:t>
      </w:r>
      <w:r>
        <w:rPr>
          <w:rFonts w:asciiTheme="minorHAnsi" w:hAnsiTheme="minorHAnsi" w:cstheme="minorHAnsi"/>
          <w:color w:val="FF0000"/>
          <w:sz w:val="28"/>
          <w:szCs w:val="28"/>
        </w:rPr>
        <w:t xml:space="preserve"> directly </w:t>
      </w:r>
      <w:r w:rsidR="001F414A">
        <w:rPr>
          <w:rFonts w:asciiTheme="minorHAnsi" w:hAnsiTheme="minorHAnsi" w:cstheme="minorHAnsi"/>
          <w:color w:val="FF0000"/>
          <w:sz w:val="28"/>
          <w:szCs w:val="28"/>
        </w:rPr>
        <w:t>assigned</w:t>
      </w:r>
      <w:r w:rsidRPr="007020F9">
        <w:rPr>
          <w:rFonts w:asciiTheme="minorHAnsi" w:hAnsiTheme="minorHAnsi" w:cstheme="minorHAnsi"/>
          <w:color w:val="FF0000"/>
          <w:sz w:val="28"/>
          <w:szCs w:val="28"/>
        </w:rPr>
        <w:t xml:space="preserve"> to capital projects worked on by Grant PUD employees.</w:t>
      </w:r>
      <w:r>
        <w:rPr>
          <w:rFonts w:asciiTheme="minorHAnsi" w:hAnsiTheme="minorHAnsi" w:cstheme="minorHAnsi"/>
          <w:color w:val="FF0000"/>
          <w:sz w:val="28"/>
          <w:szCs w:val="28"/>
        </w:rPr>
        <w:t xml:space="preserve"> </w:t>
      </w:r>
      <w:r w:rsidR="001F414A">
        <w:rPr>
          <w:rFonts w:asciiTheme="minorHAnsi" w:hAnsiTheme="minorHAnsi" w:cstheme="minorHAnsi"/>
          <w:color w:val="FF0000"/>
          <w:sz w:val="28"/>
          <w:szCs w:val="28"/>
        </w:rPr>
        <w:t xml:space="preserve"> Initially, Capital labor </w:t>
      </w:r>
      <w:r w:rsidR="001F414A" w:rsidRPr="007020F9">
        <w:rPr>
          <w:rFonts w:asciiTheme="minorHAnsi" w:hAnsiTheme="minorHAnsi" w:cstheme="minorHAnsi"/>
          <w:color w:val="FF0000"/>
          <w:sz w:val="28"/>
          <w:szCs w:val="28"/>
        </w:rPr>
        <w:t xml:space="preserve">amounts </w:t>
      </w:r>
      <w:r w:rsidR="001F414A">
        <w:rPr>
          <w:rFonts w:asciiTheme="minorHAnsi" w:hAnsiTheme="minorHAnsi" w:cstheme="minorHAnsi"/>
          <w:color w:val="FF0000"/>
          <w:sz w:val="28"/>
          <w:szCs w:val="28"/>
        </w:rPr>
        <w:t xml:space="preserve">are reflected in Account 107 - Grant PUD’s Construction Work </w:t>
      </w:r>
      <w:r w:rsidR="007F3D07">
        <w:rPr>
          <w:rFonts w:asciiTheme="minorHAnsi" w:hAnsiTheme="minorHAnsi" w:cstheme="minorHAnsi"/>
          <w:color w:val="FF0000"/>
          <w:sz w:val="28"/>
          <w:szCs w:val="28"/>
        </w:rPr>
        <w:t>i</w:t>
      </w:r>
      <w:r w:rsidR="001F414A">
        <w:rPr>
          <w:rFonts w:asciiTheme="minorHAnsi" w:hAnsiTheme="minorHAnsi" w:cstheme="minorHAnsi"/>
          <w:color w:val="FF0000"/>
          <w:sz w:val="28"/>
          <w:szCs w:val="28"/>
        </w:rPr>
        <w:t>n Progress (“CWIP”) account balances until work order</w:t>
      </w:r>
      <w:r w:rsidR="002A5B08">
        <w:rPr>
          <w:rFonts w:asciiTheme="minorHAnsi" w:hAnsiTheme="minorHAnsi" w:cstheme="minorHAnsi"/>
          <w:color w:val="FF0000"/>
          <w:sz w:val="28"/>
          <w:szCs w:val="28"/>
        </w:rPr>
        <w:t>s are</w:t>
      </w:r>
      <w:r w:rsidR="001F414A">
        <w:rPr>
          <w:rFonts w:asciiTheme="minorHAnsi" w:hAnsiTheme="minorHAnsi" w:cstheme="minorHAnsi"/>
          <w:color w:val="FF0000"/>
          <w:sz w:val="28"/>
          <w:szCs w:val="28"/>
        </w:rPr>
        <w:t xml:space="preserve"> closed</w:t>
      </w:r>
      <w:r w:rsidR="001F414A" w:rsidRPr="007020F9">
        <w:rPr>
          <w:rFonts w:asciiTheme="minorHAnsi" w:hAnsiTheme="minorHAnsi" w:cstheme="minorHAnsi"/>
          <w:color w:val="FF0000"/>
          <w:sz w:val="28"/>
          <w:szCs w:val="28"/>
        </w:rPr>
        <w:t>.</w:t>
      </w:r>
      <w:r w:rsidR="001F414A">
        <w:rPr>
          <w:rFonts w:asciiTheme="minorHAnsi" w:hAnsiTheme="minorHAnsi" w:cstheme="minorHAnsi"/>
          <w:color w:val="FF0000"/>
          <w:sz w:val="28"/>
          <w:szCs w:val="28"/>
        </w:rPr>
        <w:t xml:space="preserve">  Once the work order is closed, the labor amounts are </w:t>
      </w:r>
      <w:r w:rsidR="001F414A" w:rsidRPr="007020F9">
        <w:rPr>
          <w:rFonts w:asciiTheme="minorHAnsi" w:hAnsiTheme="minorHAnsi" w:cstheme="minorHAnsi"/>
          <w:color w:val="FF0000"/>
          <w:sz w:val="28"/>
          <w:szCs w:val="28"/>
        </w:rPr>
        <w:t>included in the appropriate 2018 plant account</w:t>
      </w:r>
      <w:r w:rsidR="001F414A">
        <w:rPr>
          <w:rFonts w:asciiTheme="minorHAnsi" w:hAnsiTheme="minorHAnsi" w:cstheme="minorHAnsi"/>
          <w:color w:val="FF0000"/>
          <w:sz w:val="28"/>
          <w:szCs w:val="28"/>
        </w:rPr>
        <w:t xml:space="preserve"> balances based on the work performed.</w:t>
      </w:r>
    </w:p>
    <w:p w:rsidR="001F414A" w:rsidRDefault="001F414A" w:rsidP="007020F9">
      <w:pPr>
        <w:spacing w:line="240" w:lineRule="auto"/>
        <w:ind w:left="720"/>
        <w:rPr>
          <w:rFonts w:asciiTheme="minorHAnsi" w:hAnsiTheme="minorHAnsi" w:cstheme="minorHAnsi"/>
          <w:color w:val="FF0000"/>
          <w:sz w:val="28"/>
          <w:szCs w:val="28"/>
        </w:rPr>
      </w:pPr>
    </w:p>
    <w:p w:rsidR="00A62EF3" w:rsidRDefault="00EC5B6C" w:rsidP="007020F9">
      <w:pPr>
        <w:spacing w:line="240" w:lineRule="auto"/>
        <w:ind w:left="720"/>
        <w:rPr>
          <w:rFonts w:asciiTheme="minorHAnsi" w:hAnsiTheme="minorHAnsi" w:cstheme="minorHAnsi"/>
          <w:color w:val="FF0000"/>
          <w:sz w:val="28"/>
          <w:szCs w:val="28"/>
        </w:rPr>
      </w:pPr>
      <w:r>
        <w:rPr>
          <w:rFonts w:asciiTheme="minorHAnsi" w:hAnsiTheme="minorHAnsi" w:cstheme="minorHAnsi"/>
          <w:color w:val="FF0000"/>
          <w:sz w:val="28"/>
          <w:szCs w:val="28"/>
        </w:rPr>
        <w:t>The purpose of developing the allocation factors (reflected in Column 4</w:t>
      </w:r>
      <w:r w:rsidR="002A5B08">
        <w:rPr>
          <w:rFonts w:asciiTheme="minorHAnsi" w:hAnsiTheme="minorHAnsi" w:cstheme="minorHAnsi"/>
          <w:color w:val="FF0000"/>
          <w:sz w:val="28"/>
          <w:szCs w:val="28"/>
        </w:rPr>
        <w:t>)</w:t>
      </w:r>
      <w:r>
        <w:rPr>
          <w:rFonts w:asciiTheme="minorHAnsi" w:hAnsiTheme="minorHAnsi" w:cstheme="minorHAnsi"/>
          <w:color w:val="FF0000"/>
          <w:sz w:val="28"/>
          <w:szCs w:val="28"/>
        </w:rPr>
        <w:t xml:space="preserve"> is t</w:t>
      </w:r>
      <w:r w:rsidR="00622471">
        <w:rPr>
          <w:rFonts w:asciiTheme="minorHAnsi" w:hAnsiTheme="minorHAnsi" w:cstheme="minorHAnsi"/>
          <w:color w:val="FF0000"/>
          <w:sz w:val="28"/>
          <w:szCs w:val="28"/>
        </w:rPr>
        <w:t>o</w:t>
      </w:r>
      <w:r>
        <w:rPr>
          <w:rFonts w:asciiTheme="minorHAnsi" w:hAnsiTheme="minorHAnsi" w:cstheme="minorHAnsi"/>
          <w:color w:val="FF0000"/>
          <w:sz w:val="28"/>
          <w:szCs w:val="28"/>
        </w:rPr>
        <w:t xml:space="preserve"> allocat</w:t>
      </w:r>
      <w:r w:rsidR="00622471">
        <w:rPr>
          <w:rFonts w:asciiTheme="minorHAnsi" w:hAnsiTheme="minorHAnsi" w:cstheme="minorHAnsi"/>
          <w:color w:val="FF0000"/>
          <w:sz w:val="28"/>
          <w:szCs w:val="28"/>
        </w:rPr>
        <w:t>e</w:t>
      </w:r>
      <w:r>
        <w:rPr>
          <w:rFonts w:asciiTheme="minorHAnsi" w:hAnsiTheme="minorHAnsi" w:cstheme="minorHAnsi"/>
          <w:color w:val="FF0000"/>
          <w:sz w:val="28"/>
          <w:szCs w:val="28"/>
        </w:rPr>
        <w:t xml:space="preserve"> </w:t>
      </w:r>
      <w:r w:rsidR="00993DEC">
        <w:rPr>
          <w:rFonts w:asciiTheme="minorHAnsi" w:hAnsiTheme="minorHAnsi" w:cstheme="minorHAnsi"/>
          <w:color w:val="FF0000"/>
          <w:sz w:val="28"/>
          <w:szCs w:val="28"/>
        </w:rPr>
        <w:t xml:space="preserve">indirect </w:t>
      </w:r>
      <w:r>
        <w:rPr>
          <w:rFonts w:asciiTheme="minorHAnsi" w:hAnsiTheme="minorHAnsi" w:cstheme="minorHAnsi"/>
          <w:color w:val="FF0000"/>
          <w:sz w:val="28"/>
          <w:szCs w:val="28"/>
        </w:rPr>
        <w:t xml:space="preserve">A&amp;G expenses, and </w:t>
      </w:r>
      <w:r w:rsidR="00993DEC">
        <w:rPr>
          <w:rFonts w:asciiTheme="minorHAnsi" w:hAnsiTheme="minorHAnsi" w:cstheme="minorHAnsi"/>
          <w:color w:val="FF0000"/>
          <w:sz w:val="28"/>
          <w:szCs w:val="28"/>
        </w:rPr>
        <w:t xml:space="preserve">indirect </w:t>
      </w:r>
      <w:r>
        <w:rPr>
          <w:rFonts w:asciiTheme="minorHAnsi" w:hAnsiTheme="minorHAnsi" w:cstheme="minorHAnsi"/>
          <w:color w:val="FF0000"/>
          <w:sz w:val="28"/>
          <w:szCs w:val="28"/>
        </w:rPr>
        <w:t>General and Intangible plant balance</w:t>
      </w:r>
      <w:r w:rsidR="00622471">
        <w:rPr>
          <w:rFonts w:asciiTheme="minorHAnsi" w:hAnsiTheme="minorHAnsi" w:cstheme="minorHAnsi"/>
          <w:color w:val="FF0000"/>
          <w:sz w:val="28"/>
          <w:szCs w:val="28"/>
        </w:rPr>
        <w:t>s</w:t>
      </w:r>
      <w:r>
        <w:rPr>
          <w:rFonts w:asciiTheme="minorHAnsi" w:hAnsiTheme="minorHAnsi" w:cstheme="minorHAnsi"/>
          <w:color w:val="FF0000"/>
          <w:sz w:val="28"/>
          <w:szCs w:val="28"/>
        </w:rPr>
        <w:t xml:space="preserve"> to the Generation, Transmission, and Distribution functions</w:t>
      </w:r>
      <w:r w:rsidR="00622471">
        <w:rPr>
          <w:rFonts w:asciiTheme="minorHAnsi" w:hAnsiTheme="minorHAnsi" w:cstheme="minorHAnsi"/>
          <w:color w:val="FF0000"/>
          <w:sz w:val="28"/>
          <w:szCs w:val="28"/>
        </w:rPr>
        <w:t xml:space="preserve"> for cost recovery purposes</w:t>
      </w:r>
      <w:r>
        <w:rPr>
          <w:rFonts w:asciiTheme="minorHAnsi" w:hAnsiTheme="minorHAnsi" w:cstheme="minorHAnsi"/>
          <w:color w:val="FF0000"/>
          <w:sz w:val="28"/>
          <w:szCs w:val="28"/>
        </w:rPr>
        <w:t>.</w:t>
      </w:r>
      <w:r w:rsidR="004E7907">
        <w:rPr>
          <w:rFonts w:asciiTheme="minorHAnsi" w:hAnsiTheme="minorHAnsi" w:cstheme="minorHAnsi"/>
          <w:color w:val="FF0000"/>
          <w:sz w:val="28"/>
          <w:szCs w:val="28"/>
        </w:rPr>
        <w:t xml:space="preserve">  </w:t>
      </w:r>
      <w:r w:rsidR="00A62EF3">
        <w:rPr>
          <w:rFonts w:asciiTheme="minorHAnsi" w:hAnsiTheme="minorHAnsi" w:cstheme="minorHAnsi"/>
          <w:color w:val="FF0000"/>
          <w:sz w:val="28"/>
          <w:szCs w:val="28"/>
        </w:rPr>
        <w:t>This treatment is consistent with current cost of service methodologies used by other utility companies</w:t>
      </w:r>
      <w:r w:rsidR="00993DEC">
        <w:rPr>
          <w:rFonts w:asciiTheme="minorHAnsi" w:hAnsiTheme="minorHAnsi" w:cstheme="minorHAnsi"/>
          <w:color w:val="FF0000"/>
          <w:sz w:val="28"/>
          <w:szCs w:val="28"/>
        </w:rPr>
        <w:t xml:space="preserve"> in developing their functional calculations.  By including the Capital labor amount in the calculations reflected in Columns 3 and 4, would inappropriately allocate </w:t>
      </w:r>
      <w:r w:rsidR="007F3D07">
        <w:rPr>
          <w:rFonts w:asciiTheme="minorHAnsi" w:hAnsiTheme="minorHAnsi" w:cstheme="minorHAnsi"/>
          <w:color w:val="FF0000"/>
          <w:sz w:val="28"/>
          <w:szCs w:val="28"/>
        </w:rPr>
        <w:t xml:space="preserve">indirect </w:t>
      </w:r>
      <w:r w:rsidR="00993DEC">
        <w:rPr>
          <w:rFonts w:asciiTheme="minorHAnsi" w:hAnsiTheme="minorHAnsi" w:cstheme="minorHAnsi"/>
          <w:color w:val="FF0000"/>
          <w:sz w:val="28"/>
          <w:szCs w:val="28"/>
        </w:rPr>
        <w:t>costs</w:t>
      </w:r>
      <w:r w:rsidR="007F3D07">
        <w:rPr>
          <w:rFonts w:asciiTheme="minorHAnsi" w:hAnsiTheme="minorHAnsi" w:cstheme="minorHAnsi"/>
          <w:color w:val="FF0000"/>
          <w:sz w:val="28"/>
          <w:szCs w:val="28"/>
        </w:rPr>
        <w:t xml:space="preserve"> to plant balances and would cause Grant PUD to under-recover its current operating costs from its current customers.</w:t>
      </w:r>
    </w:p>
    <w:p w:rsidR="00AA048C" w:rsidRDefault="00AA048C" w:rsidP="007020F9">
      <w:pPr>
        <w:spacing w:line="240" w:lineRule="auto"/>
        <w:ind w:left="720"/>
        <w:rPr>
          <w:rFonts w:asciiTheme="minorHAnsi" w:hAnsiTheme="minorHAnsi" w:cstheme="minorHAnsi"/>
          <w:color w:val="FF0000"/>
          <w:sz w:val="28"/>
          <w:szCs w:val="28"/>
        </w:rPr>
      </w:pPr>
    </w:p>
    <w:p w:rsidR="00622471" w:rsidRDefault="00AA048C" w:rsidP="007020F9">
      <w:pPr>
        <w:spacing w:line="240" w:lineRule="auto"/>
        <w:ind w:left="720"/>
        <w:rPr>
          <w:rFonts w:asciiTheme="minorHAnsi" w:hAnsiTheme="minorHAnsi" w:cstheme="minorHAnsi"/>
          <w:color w:val="FF0000"/>
          <w:sz w:val="28"/>
          <w:szCs w:val="28"/>
        </w:rPr>
      </w:pPr>
      <w:r>
        <w:rPr>
          <w:rFonts w:asciiTheme="minorHAnsi" w:hAnsiTheme="minorHAnsi" w:cstheme="minorHAnsi"/>
          <w:color w:val="FF0000"/>
          <w:sz w:val="28"/>
          <w:szCs w:val="28"/>
        </w:rPr>
        <w:lastRenderedPageBreak/>
        <w:t>If Capital labor were to be included to determine the allocation percentages in column (4); the capital labor would first have to be functionalized into Generation, Transmission and Distribution. This would result in functionalized Capital Labor having an immaterial impact to the Allocation Percentages.  Therefore, it is</w:t>
      </w:r>
      <w:r w:rsidR="00622471" w:rsidRPr="00AA048C">
        <w:rPr>
          <w:rFonts w:asciiTheme="minorHAnsi" w:hAnsiTheme="minorHAnsi" w:cstheme="minorHAnsi"/>
          <w:color w:val="FF0000"/>
          <w:sz w:val="28"/>
          <w:szCs w:val="28"/>
        </w:rPr>
        <w:t xml:space="preserve"> inappropriate to include the Capital labor in determining the Transmission WST and Distribution WSD factors because all capital costs (including </w:t>
      </w:r>
      <w:r w:rsidR="004E7907" w:rsidRPr="00AA048C">
        <w:rPr>
          <w:rFonts w:asciiTheme="minorHAnsi" w:hAnsiTheme="minorHAnsi" w:cstheme="minorHAnsi"/>
          <w:color w:val="FF0000"/>
          <w:sz w:val="28"/>
          <w:szCs w:val="28"/>
        </w:rPr>
        <w:t xml:space="preserve">appropriate </w:t>
      </w:r>
      <w:r w:rsidR="00622471" w:rsidRPr="00AA048C">
        <w:rPr>
          <w:rFonts w:asciiTheme="minorHAnsi" w:hAnsiTheme="minorHAnsi" w:cstheme="minorHAnsi"/>
          <w:color w:val="FF0000"/>
          <w:sz w:val="28"/>
          <w:szCs w:val="28"/>
        </w:rPr>
        <w:t>capital labor) are allocated using plant balances</w:t>
      </w:r>
      <w:r w:rsidR="004E7907" w:rsidRPr="00AA048C">
        <w:rPr>
          <w:rFonts w:asciiTheme="minorHAnsi" w:hAnsiTheme="minorHAnsi" w:cstheme="minorHAnsi"/>
          <w:color w:val="FF0000"/>
          <w:sz w:val="28"/>
          <w:szCs w:val="28"/>
        </w:rPr>
        <w:t>.</w:t>
      </w:r>
    </w:p>
    <w:p w:rsidR="001E61FB" w:rsidRDefault="001E61FB" w:rsidP="004927AA">
      <w:pPr>
        <w:spacing w:line="240" w:lineRule="auto"/>
        <w:rPr>
          <w:rFonts w:asciiTheme="minorHAnsi" w:hAnsiTheme="minorHAnsi" w:cstheme="minorHAnsi"/>
          <w:sz w:val="28"/>
          <w:szCs w:val="28"/>
        </w:rPr>
      </w:pPr>
    </w:p>
    <w:p w:rsidR="004927AA" w:rsidRPr="004927AA" w:rsidRDefault="004927AA" w:rsidP="004927AA">
      <w:pPr>
        <w:spacing w:line="240" w:lineRule="auto"/>
        <w:rPr>
          <w:rFonts w:asciiTheme="minorHAnsi" w:hAnsiTheme="minorHAnsi" w:cstheme="minorHAnsi"/>
          <w:sz w:val="28"/>
          <w:szCs w:val="28"/>
        </w:rPr>
      </w:pPr>
      <w:r w:rsidRPr="004927AA">
        <w:rPr>
          <w:rFonts w:asciiTheme="minorHAnsi" w:hAnsiTheme="minorHAnsi" w:cstheme="minorHAnsi"/>
          <w:b/>
          <w:bCs/>
          <w:sz w:val="28"/>
          <w:szCs w:val="28"/>
          <w:u w:val="single"/>
        </w:rPr>
        <w:t xml:space="preserve">Question No. 2 - </w:t>
      </w:r>
      <w:bookmarkStart w:id="1" w:name="_Hlk28246385"/>
      <w:r w:rsidRPr="004927AA">
        <w:rPr>
          <w:rFonts w:asciiTheme="minorHAnsi" w:hAnsiTheme="minorHAnsi" w:cstheme="minorHAnsi"/>
          <w:sz w:val="28"/>
          <w:szCs w:val="28"/>
        </w:rPr>
        <w:t xml:space="preserve">Pursuant to an open records request submitted by Reclamation to the District on August 30th, Grant provided a breakdown of the line item costs that are included in FERC Account No. 921 (“Office Supplies and Expenses”) which are incorporated into the 2019 COSS on Line 66 of Exhibit III. Reclamation notes that based upon the supplemental information provided by the District, approximately 80% of the overall Account No. 921 total of $20,884,611 are labor-related costs. </w:t>
      </w:r>
      <w:proofErr w:type="gramStart"/>
      <w:r w:rsidRPr="004927AA">
        <w:rPr>
          <w:rFonts w:asciiTheme="minorHAnsi" w:hAnsiTheme="minorHAnsi" w:cstheme="minorHAnsi"/>
          <w:sz w:val="28"/>
          <w:szCs w:val="28"/>
        </w:rPr>
        <w:t>In particular, filtering</w:t>
      </w:r>
      <w:proofErr w:type="gramEnd"/>
      <w:r w:rsidRPr="004927AA">
        <w:rPr>
          <w:rFonts w:asciiTheme="minorHAnsi" w:hAnsiTheme="minorHAnsi" w:cstheme="minorHAnsi"/>
          <w:sz w:val="28"/>
          <w:szCs w:val="28"/>
        </w:rPr>
        <w:t xml:space="preserve"> the Account No. 921 line item costs on the “Timesheet </w:t>
      </w:r>
      <w:proofErr w:type="spellStart"/>
      <w:r w:rsidRPr="004927AA">
        <w:rPr>
          <w:rFonts w:asciiTheme="minorHAnsi" w:hAnsiTheme="minorHAnsi" w:cstheme="minorHAnsi"/>
          <w:sz w:val="28"/>
          <w:szCs w:val="28"/>
        </w:rPr>
        <w:t>Trx</w:t>
      </w:r>
      <w:proofErr w:type="spellEnd"/>
      <w:r w:rsidRPr="004927AA">
        <w:rPr>
          <w:rFonts w:asciiTheme="minorHAnsi" w:hAnsiTheme="minorHAnsi" w:cstheme="minorHAnsi"/>
          <w:sz w:val="28"/>
          <w:szCs w:val="28"/>
        </w:rPr>
        <w:t xml:space="preserve"> Entry” identifier in the “Reference” column shows total 2018 labor-related costs of $16,688,351.</w:t>
      </w:r>
      <w:bookmarkEnd w:id="1"/>
      <w:r w:rsidRPr="004927AA">
        <w:rPr>
          <w:rFonts w:asciiTheme="minorHAnsi" w:hAnsiTheme="minorHAnsi" w:cstheme="minorHAnsi"/>
          <w:sz w:val="28"/>
          <w:szCs w:val="28"/>
        </w:rPr>
        <w:t xml:space="preserve">  Given the above cited information, please identify: 1) the specific dollar amount of Grant’s 2018 labor costs that are included in FERC Account No. 921 that are associated with the “Capital” labor category as shown in Revised Exhibit A, and 2) how Reclamation can confirm this amount using the information contained in the Account No. 921 line item detail file that was previously provided by the District.</w:t>
      </w:r>
    </w:p>
    <w:p w:rsidR="004927AA" w:rsidRPr="004927AA" w:rsidRDefault="004927AA" w:rsidP="004927AA">
      <w:pPr>
        <w:spacing w:line="240" w:lineRule="auto"/>
        <w:rPr>
          <w:rFonts w:asciiTheme="minorHAnsi" w:hAnsiTheme="minorHAnsi" w:cstheme="minorHAnsi"/>
          <w:color w:val="FF0000"/>
          <w:sz w:val="28"/>
          <w:szCs w:val="28"/>
        </w:rPr>
      </w:pPr>
    </w:p>
    <w:p w:rsidR="00586565" w:rsidRDefault="00586565" w:rsidP="00E05A12">
      <w:pPr>
        <w:spacing w:line="240" w:lineRule="auto"/>
        <w:ind w:left="720"/>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 xml:space="preserve">According to </w:t>
      </w:r>
      <w:r w:rsidR="003A5EEC">
        <w:rPr>
          <w:rFonts w:asciiTheme="minorHAnsi" w:eastAsia="Times New Roman" w:hAnsiTheme="minorHAnsi" w:cstheme="minorHAnsi"/>
          <w:color w:val="FF0000"/>
          <w:sz w:val="28"/>
          <w:szCs w:val="28"/>
        </w:rPr>
        <w:t xml:space="preserve">the </w:t>
      </w:r>
      <w:r>
        <w:rPr>
          <w:rFonts w:asciiTheme="minorHAnsi" w:eastAsia="Times New Roman" w:hAnsiTheme="minorHAnsi" w:cstheme="minorHAnsi"/>
          <w:color w:val="FF0000"/>
          <w:sz w:val="28"/>
          <w:szCs w:val="28"/>
        </w:rPr>
        <w:t xml:space="preserve">Grant PUD </w:t>
      </w:r>
      <w:r w:rsidR="00710353">
        <w:rPr>
          <w:rFonts w:asciiTheme="minorHAnsi" w:eastAsia="Times New Roman" w:hAnsiTheme="minorHAnsi" w:cstheme="minorHAnsi"/>
          <w:color w:val="FF0000"/>
          <w:sz w:val="28"/>
          <w:szCs w:val="28"/>
        </w:rPr>
        <w:t xml:space="preserve">public </w:t>
      </w:r>
      <w:r>
        <w:rPr>
          <w:rFonts w:asciiTheme="minorHAnsi" w:eastAsia="Times New Roman" w:hAnsiTheme="minorHAnsi" w:cstheme="minorHAnsi"/>
          <w:color w:val="FF0000"/>
          <w:sz w:val="28"/>
          <w:szCs w:val="28"/>
        </w:rPr>
        <w:t>records provided to USBR, the amount associated with</w:t>
      </w:r>
      <w:r w:rsidR="003A5EEC">
        <w:rPr>
          <w:rFonts w:asciiTheme="minorHAnsi" w:eastAsia="Times New Roman" w:hAnsiTheme="minorHAnsi" w:cstheme="minorHAnsi"/>
          <w:color w:val="FF0000"/>
          <w:sz w:val="28"/>
          <w:szCs w:val="28"/>
        </w:rPr>
        <w:t xml:space="preserve"> the Account No. 921</w:t>
      </w:r>
      <w:r>
        <w:rPr>
          <w:rFonts w:asciiTheme="minorHAnsi" w:eastAsia="Times New Roman" w:hAnsiTheme="minorHAnsi" w:cstheme="minorHAnsi"/>
          <w:color w:val="FF0000"/>
          <w:sz w:val="28"/>
          <w:szCs w:val="28"/>
        </w:rPr>
        <w:t xml:space="preserve"> “Timesheet </w:t>
      </w:r>
      <w:proofErr w:type="spellStart"/>
      <w:r>
        <w:rPr>
          <w:rFonts w:asciiTheme="minorHAnsi" w:eastAsia="Times New Roman" w:hAnsiTheme="minorHAnsi" w:cstheme="minorHAnsi"/>
          <w:color w:val="FF0000"/>
          <w:sz w:val="28"/>
          <w:szCs w:val="28"/>
        </w:rPr>
        <w:t>Trx</w:t>
      </w:r>
      <w:proofErr w:type="spellEnd"/>
      <w:r>
        <w:rPr>
          <w:rFonts w:asciiTheme="minorHAnsi" w:eastAsia="Times New Roman" w:hAnsiTheme="minorHAnsi" w:cstheme="minorHAnsi"/>
          <w:color w:val="FF0000"/>
          <w:sz w:val="28"/>
          <w:szCs w:val="28"/>
        </w:rPr>
        <w:t xml:space="preserve"> Entry” identifier </w:t>
      </w:r>
      <w:r w:rsidR="003A5EEC">
        <w:rPr>
          <w:rFonts w:asciiTheme="minorHAnsi" w:eastAsia="Times New Roman" w:hAnsiTheme="minorHAnsi" w:cstheme="minorHAnsi"/>
          <w:color w:val="FF0000"/>
          <w:sz w:val="28"/>
          <w:szCs w:val="28"/>
        </w:rPr>
        <w:t>should be</w:t>
      </w:r>
      <w:r>
        <w:rPr>
          <w:rFonts w:asciiTheme="minorHAnsi" w:eastAsia="Times New Roman" w:hAnsiTheme="minorHAnsi" w:cstheme="minorHAnsi"/>
          <w:color w:val="FF0000"/>
          <w:sz w:val="28"/>
          <w:szCs w:val="28"/>
        </w:rPr>
        <w:t xml:space="preserve"> $15,688,351 and not </w:t>
      </w:r>
      <w:r w:rsidR="00710353">
        <w:rPr>
          <w:rFonts w:asciiTheme="minorHAnsi" w:eastAsia="Times New Roman" w:hAnsiTheme="minorHAnsi" w:cstheme="minorHAnsi"/>
          <w:color w:val="FF0000"/>
          <w:sz w:val="28"/>
          <w:szCs w:val="28"/>
        </w:rPr>
        <w:t xml:space="preserve">the USBR stated amount of </w:t>
      </w:r>
      <w:r>
        <w:rPr>
          <w:rFonts w:asciiTheme="minorHAnsi" w:eastAsia="Times New Roman" w:hAnsiTheme="minorHAnsi" w:cstheme="minorHAnsi"/>
          <w:color w:val="FF0000"/>
          <w:sz w:val="28"/>
          <w:szCs w:val="28"/>
        </w:rPr>
        <w:t>$16,688,351</w:t>
      </w:r>
      <w:r w:rsidR="00710353">
        <w:rPr>
          <w:rFonts w:asciiTheme="minorHAnsi" w:eastAsia="Times New Roman" w:hAnsiTheme="minorHAnsi" w:cstheme="minorHAnsi"/>
          <w:color w:val="FF0000"/>
          <w:sz w:val="28"/>
          <w:szCs w:val="28"/>
        </w:rPr>
        <w:t xml:space="preserve">. The </w:t>
      </w:r>
      <w:r w:rsidR="00DB3635">
        <w:rPr>
          <w:rFonts w:asciiTheme="minorHAnsi" w:eastAsia="Times New Roman" w:hAnsiTheme="minorHAnsi" w:cstheme="minorHAnsi"/>
          <w:color w:val="FF0000"/>
          <w:sz w:val="28"/>
          <w:szCs w:val="28"/>
        </w:rPr>
        <w:t>Account No. 921 labor amount of $15,688,351 is further support by Table 2.</w:t>
      </w:r>
    </w:p>
    <w:p w:rsidR="00586565" w:rsidRDefault="00586565" w:rsidP="00E05A12">
      <w:pPr>
        <w:spacing w:line="240" w:lineRule="auto"/>
        <w:ind w:left="720"/>
        <w:rPr>
          <w:rFonts w:asciiTheme="minorHAnsi" w:eastAsia="Times New Roman" w:hAnsiTheme="minorHAnsi" w:cstheme="minorHAnsi"/>
          <w:color w:val="FF0000"/>
          <w:sz w:val="28"/>
          <w:szCs w:val="28"/>
        </w:rPr>
      </w:pPr>
    </w:p>
    <w:p w:rsidR="00710353" w:rsidRDefault="00710353" w:rsidP="00E05A12">
      <w:pPr>
        <w:spacing w:line="240" w:lineRule="auto"/>
        <w:ind w:left="720"/>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Table 2: 2018 Acct. No. 921 Labor</w:t>
      </w:r>
    </w:p>
    <w:tbl>
      <w:tblPr>
        <w:tblStyle w:val="TableGrid"/>
        <w:tblW w:w="0" w:type="auto"/>
        <w:tblInd w:w="720" w:type="dxa"/>
        <w:tblLook w:val="04A0" w:firstRow="1" w:lastRow="0" w:firstColumn="1" w:lastColumn="0" w:noHBand="0" w:noVBand="1"/>
      </w:tblPr>
      <w:tblGrid>
        <w:gridCol w:w="2335"/>
        <w:gridCol w:w="2520"/>
      </w:tblGrid>
      <w:tr w:rsidR="00710353" w:rsidTr="00710353">
        <w:tc>
          <w:tcPr>
            <w:tcW w:w="2335" w:type="dxa"/>
          </w:tcPr>
          <w:p w:rsidR="00710353" w:rsidRDefault="00710353" w:rsidP="00710353">
            <w:pPr>
              <w:spacing w:line="240" w:lineRule="auto"/>
              <w:jc w:val="center"/>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Account Number</w:t>
            </w:r>
          </w:p>
        </w:tc>
        <w:tc>
          <w:tcPr>
            <w:tcW w:w="2520" w:type="dxa"/>
          </w:tcPr>
          <w:p w:rsidR="00710353" w:rsidRDefault="00710353" w:rsidP="00710353">
            <w:pPr>
              <w:spacing w:line="240" w:lineRule="auto"/>
              <w:jc w:val="center"/>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Acct. 921 Labor</w:t>
            </w:r>
          </w:p>
        </w:tc>
      </w:tr>
      <w:tr w:rsidR="00710353" w:rsidTr="00710353">
        <w:tc>
          <w:tcPr>
            <w:tcW w:w="2335" w:type="dxa"/>
          </w:tcPr>
          <w:p w:rsidR="00710353" w:rsidRDefault="00710353" w:rsidP="00E05A12">
            <w:pPr>
              <w:spacing w:line="240" w:lineRule="auto"/>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921010</w:t>
            </w:r>
          </w:p>
        </w:tc>
        <w:tc>
          <w:tcPr>
            <w:tcW w:w="2520" w:type="dxa"/>
          </w:tcPr>
          <w:p w:rsidR="00710353" w:rsidRDefault="00710353" w:rsidP="00710353">
            <w:pPr>
              <w:spacing w:line="240" w:lineRule="auto"/>
              <w:jc w:val="right"/>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$15,676,727.13</w:t>
            </w:r>
          </w:p>
        </w:tc>
      </w:tr>
      <w:tr w:rsidR="00710353" w:rsidTr="00710353">
        <w:tc>
          <w:tcPr>
            <w:tcW w:w="2335" w:type="dxa"/>
          </w:tcPr>
          <w:p w:rsidR="00710353" w:rsidRDefault="00710353" w:rsidP="00E05A12">
            <w:pPr>
              <w:spacing w:line="240" w:lineRule="auto"/>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921030</w:t>
            </w:r>
          </w:p>
        </w:tc>
        <w:tc>
          <w:tcPr>
            <w:tcW w:w="2520" w:type="dxa"/>
          </w:tcPr>
          <w:p w:rsidR="00710353" w:rsidRDefault="00710353" w:rsidP="00710353">
            <w:pPr>
              <w:spacing w:line="240" w:lineRule="auto"/>
              <w:jc w:val="right"/>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$11,623.86</w:t>
            </w:r>
          </w:p>
        </w:tc>
      </w:tr>
      <w:tr w:rsidR="00710353" w:rsidTr="00710353">
        <w:tc>
          <w:tcPr>
            <w:tcW w:w="2335" w:type="dxa"/>
          </w:tcPr>
          <w:p w:rsidR="00710353" w:rsidRDefault="00710353" w:rsidP="00E05A12">
            <w:pPr>
              <w:spacing w:line="240" w:lineRule="auto"/>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Total</w:t>
            </w:r>
          </w:p>
        </w:tc>
        <w:tc>
          <w:tcPr>
            <w:tcW w:w="2520" w:type="dxa"/>
          </w:tcPr>
          <w:p w:rsidR="00710353" w:rsidRDefault="00710353" w:rsidP="00710353">
            <w:pPr>
              <w:spacing w:line="240" w:lineRule="auto"/>
              <w:jc w:val="right"/>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$15,688,350.99</w:t>
            </w:r>
          </w:p>
        </w:tc>
      </w:tr>
    </w:tbl>
    <w:p w:rsidR="00710353" w:rsidRDefault="00710353" w:rsidP="00E05A12">
      <w:pPr>
        <w:spacing w:line="240" w:lineRule="auto"/>
        <w:ind w:left="720"/>
        <w:rPr>
          <w:rFonts w:asciiTheme="minorHAnsi" w:eastAsia="Times New Roman" w:hAnsiTheme="minorHAnsi" w:cstheme="minorHAnsi"/>
          <w:color w:val="FF0000"/>
          <w:sz w:val="28"/>
          <w:szCs w:val="28"/>
        </w:rPr>
      </w:pPr>
    </w:p>
    <w:p w:rsidR="00DB3635" w:rsidRDefault="00710353" w:rsidP="00DB3635">
      <w:pPr>
        <w:spacing w:line="240" w:lineRule="auto"/>
        <w:ind w:left="720"/>
        <w:rPr>
          <w:rFonts w:asciiTheme="minorHAnsi" w:eastAsia="Times New Roman" w:hAnsiTheme="minorHAnsi" w:cstheme="minorHAnsi"/>
          <w:sz w:val="28"/>
          <w:szCs w:val="28"/>
        </w:rPr>
      </w:pPr>
      <w:r>
        <w:rPr>
          <w:rFonts w:asciiTheme="minorHAnsi" w:hAnsiTheme="minorHAnsi" w:cstheme="minorHAnsi"/>
          <w:color w:val="FF0000"/>
          <w:sz w:val="28"/>
          <w:szCs w:val="28"/>
        </w:rPr>
        <w:lastRenderedPageBreak/>
        <w:t>T</w:t>
      </w:r>
      <w:r w:rsidR="00586565" w:rsidRPr="00E05A12">
        <w:rPr>
          <w:rFonts w:asciiTheme="minorHAnsi" w:hAnsiTheme="minorHAnsi" w:cstheme="minorHAnsi"/>
          <w:color w:val="FF0000"/>
          <w:sz w:val="28"/>
          <w:szCs w:val="28"/>
        </w:rPr>
        <w:t>he total A&amp;G labor cost of $32,060,784.38</w:t>
      </w:r>
      <w:r>
        <w:rPr>
          <w:rFonts w:asciiTheme="minorHAnsi" w:hAnsiTheme="minorHAnsi" w:cstheme="minorHAnsi"/>
          <w:color w:val="FF0000"/>
          <w:sz w:val="28"/>
          <w:szCs w:val="28"/>
        </w:rPr>
        <w:t xml:space="preserve"> </w:t>
      </w:r>
      <w:r w:rsidR="00586565" w:rsidRPr="00E05A12">
        <w:rPr>
          <w:rFonts w:asciiTheme="minorHAnsi" w:hAnsiTheme="minorHAnsi" w:cstheme="minorHAnsi"/>
          <w:color w:val="FF0000"/>
          <w:sz w:val="28"/>
          <w:szCs w:val="28"/>
        </w:rPr>
        <w:t>reflected on</w:t>
      </w:r>
      <w:r>
        <w:rPr>
          <w:rFonts w:asciiTheme="minorHAnsi" w:hAnsiTheme="minorHAnsi" w:cstheme="minorHAnsi"/>
          <w:color w:val="FF0000"/>
          <w:sz w:val="28"/>
          <w:szCs w:val="28"/>
        </w:rPr>
        <w:t xml:space="preserve"> Table 1</w:t>
      </w:r>
      <w:r w:rsidR="00DB3635">
        <w:rPr>
          <w:rFonts w:asciiTheme="minorHAnsi" w:hAnsiTheme="minorHAnsi" w:cstheme="minorHAnsi"/>
          <w:color w:val="FF0000"/>
          <w:sz w:val="28"/>
          <w:szCs w:val="28"/>
        </w:rPr>
        <w:t xml:space="preserve"> include</w:t>
      </w:r>
      <w:r w:rsidR="003A5EEC">
        <w:rPr>
          <w:rFonts w:asciiTheme="minorHAnsi" w:hAnsiTheme="minorHAnsi" w:cstheme="minorHAnsi"/>
          <w:color w:val="FF0000"/>
          <w:sz w:val="28"/>
          <w:szCs w:val="28"/>
        </w:rPr>
        <w:t>s</w:t>
      </w:r>
      <w:r w:rsidR="00DB3635">
        <w:rPr>
          <w:rFonts w:asciiTheme="minorHAnsi" w:hAnsiTheme="minorHAnsi" w:cstheme="minorHAnsi"/>
          <w:color w:val="FF0000"/>
          <w:sz w:val="28"/>
          <w:szCs w:val="28"/>
        </w:rPr>
        <w:t xml:space="preserve"> the</w:t>
      </w:r>
      <w:r w:rsidR="003A5EEC">
        <w:rPr>
          <w:rFonts w:asciiTheme="minorHAnsi" w:hAnsiTheme="minorHAnsi" w:cstheme="minorHAnsi"/>
          <w:color w:val="FF0000"/>
          <w:sz w:val="28"/>
          <w:szCs w:val="28"/>
        </w:rPr>
        <w:t xml:space="preserve"> corrected</w:t>
      </w:r>
      <w:r w:rsidR="00DB3635">
        <w:rPr>
          <w:rFonts w:asciiTheme="minorHAnsi" w:hAnsiTheme="minorHAnsi" w:cstheme="minorHAnsi"/>
          <w:color w:val="FF0000"/>
          <w:sz w:val="28"/>
          <w:szCs w:val="28"/>
        </w:rPr>
        <w:t xml:space="preserve"> Account No. 921 labor amount</w:t>
      </w:r>
      <w:r w:rsidR="00586565" w:rsidRPr="00E05A12">
        <w:rPr>
          <w:rFonts w:asciiTheme="minorHAnsi" w:hAnsiTheme="minorHAnsi" w:cstheme="minorHAnsi"/>
          <w:color w:val="FF0000"/>
          <w:sz w:val="28"/>
          <w:szCs w:val="28"/>
        </w:rPr>
        <w:t xml:space="preserve">.  </w:t>
      </w:r>
      <w:r w:rsidR="00DB3635">
        <w:rPr>
          <w:rFonts w:asciiTheme="minorHAnsi" w:eastAsia="Times New Roman" w:hAnsiTheme="minorHAnsi" w:cstheme="minorHAnsi"/>
          <w:color w:val="FF0000"/>
          <w:sz w:val="28"/>
          <w:szCs w:val="28"/>
        </w:rPr>
        <w:t>The A&amp;G labor amounts are appropriately included in O&amp;M expense account Nos. 920 – 935 in the 2018 Transmission COSS.</w:t>
      </w:r>
      <w:r w:rsidR="00586565">
        <w:rPr>
          <w:rFonts w:asciiTheme="minorHAnsi" w:hAnsiTheme="minorHAnsi" w:cstheme="minorHAnsi"/>
          <w:color w:val="FF0000"/>
          <w:sz w:val="28"/>
          <w:szCs w:val="28"/>
        </w:rPr>
        <w:t xml:space="preserve"> </w:t>
      </w:r>
      <w:r w:rsidR="00DB3635">
        <w:rPr>
          <w:rFonts w:asciiTheme="minorHAnsi" w:hAnsiTheme="minorHAnsi" w:cstheme="minorHAnsi"/>
          <w:color w:val="FF0000"/>
          <w:sz w:val="28"/>
          <w:szCs w:val="28"/>
        </w:rPr>
        <w:t xml:space="preserve"> </w:t>
      </w:r>
      <w:r w:rsidR="00DB3635" w:rsidRPr="00E05A12">
        <w:rPr>
          <w:rFonts w:asciiTheme="minorHAnsi" w:hAnsiTheme="minorHAnsi" w:cstheme="minorHAnsi"/>
          <w:color w:val="FF0000"/>
          <w:sz w:val="28"/>
          <w:szCs w:val="28"/>
        </w:rPr>
        <w:t xml:space="preserve">  </w:t>
      </w:r>
      <w:r w:rsidR="00360B77">
        <w:rPr>
          <w:rFonts w:asciiTheme="minorHAnsi" w:hAnsiTheme="minorHAnsi" w:cstheme="minorHAnsi"/>
          <w:color w:val="FF0000"/>
          <w:sz w:val="28"/>
          <w:szCs w:val="28"/>
        </w:rPr>
        <w:t>Grant PUD’s 201</w:t>
      </w:r>
      <w:r w:rsidR="007F34D1">
        <w:rPr>
          <w:rFonts w:asciiTheme="minorHAnsi" w:hAnsiTheme="minorHAnsi" w:cstheme="minorHAnsi"/>
          <w:color w:val="FF0000"/>
          <w:sz w:val="28"/>
          <w:szCs w:val="28"/>
        </w:rPr>
        <w:t>9</w:t>
      </w:r>
      <w:r w:rsidR="00360B77">
        <w:rPr>
          <w:rFonts w:asciiTheme="minorHAnsi" w:hAnsiTheme="minorHAnsi" w:cstheme="minorHAnsi"/>
          <w:color w:val="FF0000"/>
          <w:sz w:val="28"/>
          <w:szCs w:val="28"/>
        </w:rPr>
        <w:t xml:space="preserve"> Transmission COSS </w:t>
      </w:r>
      <w:r w:rsidR="00360B77" w:rsidRPr="00E05A12">
        <w:rPr>
          <w:rFonts w:asciiTheme="minorHAnsi" w:hAnsiTheme="minorHAnsi" w:cstheme="minorHAnsi"/>
          <w:color w:val="FF0000"/>
          <w:sz w:val="28"/>
          <w:szCs w:val="28"/>
        </w:rPr>
        <w:t>allocate</w:t>
      </w:r>
      <w:r w:rsidR="00360B77">
        <w:rPr>
          <w:rFonts w:asciiTheme="minorHAnsi" w:hAnsiTheme="minorHAnsi" w:cstheme="minorHAnsi"/>
          <w:color w:val="FF0000"/>
          <w:sz w:val="28"/>
          <w:szCs w:val="28"/>
        </w:rPr>
        <w:t>s the A&amp;G labor amounts</w:t>
      </w:r>
      <w:r w:rsidR="00360B77" w:rsidRPr="00E05A12">
        <w:rPr>
          <w:rFonts w:asciiTheme="minorHAnsi" w:hAnsiTheme="minorHAnsi" w:cstheme="minorHAnsi"/>
          <w:color w:val="FF0000"/>
          <w:sz w:val="28"/>
          <w:szCs w:val="28"/>
        </w:rPr>
        <w:t xml:space="preserve"> to the Production, Transmission, or Distribution </w:t>
      </w:r>
      <w:r w:rsidR="00360B77">
        <w:rPr>
          <w:rFonts w:asciiTheme="minorHAnsi" w:hAnsiTheme="minorHAnsi" w:cstheme="minorHAnsi"/>
          <w:color w:val="FF0000"/>
          <w:sz w:val="28"/>
          <w:szCs w:val="28"/>
        </w:rPr>
        <w:t xml:space="preserve">functions </w:t>
      </w:r>
      <w:r w:rsidR="00360B77" w:rsidRPr="00E05A12">
        <w:rPr>
          <w:rFonts w:asciiTheme="minorHAnsi" w:hAnsiTheme="minorHAnsi" w:cstheme="minorHAnsi"/>
          <w:color w:val="FF0000"/>
          <w:sz w:val="28"/>
          <w:szCs w:val="28"/>
        </w:rPr>
        <w:t>for cost recovery</w:t>
      </w:r>
      <w:r w:rsidR="00360B77">
        <w:rPr>
          <w:rFonts w:asciiTheme="minorHAnsi" w:hAnsiTheme="minorHAnsi" w:cstheme="minorHAnsi"/>
          <w:color w:val="FF0000"/>
          <w:sz w:val="28"/>
          <w:szCs w:val="28"/>
        </w:rPr>
        <w:t xml:space="preserve"> by using the direct labor factors reflected on Table 1, Column 4.  </w:t>
      </w:r>
    </w:p>
    <w:p w:rsidR="00DB3635" w:rsidRDefault="00DB3635" w:rsidP="00E05A12">
      <w:pPr>
        <w:spacing w:line="240" w:lineRule="auto"/>
        <w:ind w:left="720"/>
        <w:rPr>
          <w:rFonts w:asciiTheme="minorHAnsi" w:hAnsiTheme="minorHAnsi" w:cstheme="minorHAnsi"/>
          <w:color w:val="FF0000"/>
          <w:sz w:val="28"/>
          <w:szCs w:val="28"/>
        </w:rPr>
      </w:pPr>
    </w:p>
    <w:p w:rsidR="00DB3635" w:rsidRPr="00E05A12" w:rsidRDefault="00DB3635" w:rsidP="003A5EEC">
      <w:pPr>
        <w:spacing w:line="240" w:lineRule="auto"/>
        <w:ind w:left="720"/>
        <w:rPr>
          <w:rFonts w:asciiTheme="minorHAnsi" w:eastAsia="Times New Roman" w:hAnsiTheme="minorHAnsi" w:cstheme="minorHAnsi"/>
          <w:color w:val="FF0000"/>
          <w:sz w:val="28"/>
          <w:szCs w:val="28"/>
        </w:rPr>
      </w:pPr>
      <w:r w:rsidRPr="00E05A12">
        <w:rPr>
          <w:rFonts w:asciiTheme="minorHAnsi" w:eastAsia="Times New Roman" w:hAnsiTheme="minorHAnsi" w:cstheme="minorHAnsi"/>
          <w:color w:val="FF0000"/>
          <w:sz w:val="28"/>
          <w:szCs w:val="28"/>
        </w:rPr>
        <w:t>As discussed above in “Question No. 1”, the labor costs attributable to capital plant accounts is $22,753,086.54.  Th</w:t>
      </w:r>
      <w:r w:rsidR="003A5EEC">
        <w:rPr>
          <w:rFonts w:asciiTheme="minorHAnsi" w:eastAsia="Times New Roman" w:hAnsiTheme="minorHAnsi" w:cstheme="minorHAnsi"/>
          <w:color w:val="FF0000"/>
          <w:sz w:val="28"/>
          <w:szCs w:val="28"/>
        </w:rPr>
        <w:t>ese</w:t>
      </w:r>
      <w:r w:rsidRPr="00E05A12">
        <w:rPr>
          <w:rFonts w:asciiTheme="minorHAnsi" w:eastAsia="Times New Roman" w:hAnsiTheme="minorHAnsi" w:cstheme="minorHAnsi"/>
          <w:color w:val="FF0000"/>
          <w:sz w:val="28"/>
          <w:szCs w:val="28"/>
        </w:rPr>
        <w:t xml:space="preserve"> </w:t>
      </w:r>
      <w:r w:rsidR="003A5EEC">
        <w:rPr>
          <w:rFonts w:asciiTheme="minorHAnsi" w:eastAsia="Times New Roman" w:hAnsiTheme="minorHAnsi" w:cstheme="minorHAnsi"/>
          <w:color w:val="FF0000"/>
          <w:sz w:val="28"/>
          <w:szCs w:val="28"/>
        </w:rPr>
        <w:t xml:space="preserve">labor </w:t>
      </w:r>
      <w:r w:rsidRPr="00E05A12">
        <w:rPr>
          <w:rFonts w:asciiTheme="minorHAnsi" w:eastAsia="Times New Roman" w:hAnsiTheme="minorHAnsi" w:cstheme="minorHAnsi"/>
          <w:color w:val="FF0000"/>
          <w:sz w:val="28"/>
          <w:szCs w:val="28"/>
        </w:rPr>
        <w:t>a</w:t>
      </w:r>
      <w:r w:rsidR="003A5EEC">
        <w:rPr>
          <w:rFonts w:asciiTheme="minorHAnsi" w:eastAsia="Times New Roman" w:hAnsiTheme="minorHAnsi" w:cstheme="minorHAnsi"/>
          <w:color w:val="FF0000"/>
          <w:sz w:val="28"/>
          <w:szCs w:val="28"/>
        </w:rPr>
        <w:t>mounts are</w:t>
      </w:r>
      <w:r w:rsidRPr="00E05A12">
        <w:rPr>
          <w:rFonts w:asciiTheme="minorHAnsi" w:eastAsia="Times New Roman" w:hAnsiTheme="minorHAnsi" w:cstheme="minorHAnsi"/>
          <w:color w:val="FF0000"/>
          <w:sz w:val="28"/>
          <w:szCs w:val="28"/>
        </w:rPr>
        <w:t xml:space="preserve"> </w:t>
      </w:r>
      <w:r w:rsidR="003A5EEC">
        <w:rPr>
          <w:rFonts w:asciiTheme="minorHAnsi" w:eastAsia="Times New Roman" w:hAnsiTheme="minorHAnsi" w:cstheme="minorHAnsi"/>
          <w:color w:val="FF0000"/>
          <w:sz w:val="28"/>
          <w:szCs w:val="28"/>
        </w:rPr>
        <w:t>recorded in Account No. 107 until the work order is closed.</w:t>
      </w:r>
      <w:r w:rsidR="00360B77">
        <w:rPr>
          <w:rFonts w:asciiTheme="minorHAnsi" w:eastAsia="Times New Roman" w:hAnsiTheme="minorHAnsi" w:cstheme="minorHAnsi"/>
          <w:color w:val="FF0000"/>
          <w:sz w:val="28"/>
          <w:szCs w:val="28"/>
        </w:rPr>
        <w:t xml:space="preserve">  Once the work order is closed the labor amounts are included in the appropriate plant account balance.</w:t>
      </w:r>
      <w:r w:rsidRPr="00E05A12">
        <w:rPr>
          <w:rFonts w:asciiTheme="minorHAnsi" w:eastAsia="Times New Roman" w:hAnsiTheme="minorHAnsi" w:cstheme="minorHAnsi"/>
          <w:color w:val="FF0000"/>
          <w:sz w:val="28"/>
          <w:szCs w:val="28"/>
        </w:rPr>
        <w:t xml:space="preserve"> </w:t>
      </w:r>
    </w:p>
    <w:p w:rsidR="00DB3635" w:rsidRDefault="00DB3635" w:rsidP="00E05A12">
      <w:pPr>
        <w:spacing w:line="240" w:lineRule="auto"/>
        <w:ind w:left="720"/>
        <w:rPr>
          <w:rFonts w:asciiTheme="minorHAnsi" w:hAnsiTheme="minorHAnsi" w:cstheme="minorHAnsi"/>
          <w:color w:val="FF0000"/>
          <w:sz w:val="28"/>
          <w:szCs w:val="28"/>
        </w:rPr>
      </w:pPr>
    </w:p>
    <w:p w:rsidR="00360B77" w:rsidRDefault="00360B77" w:rsidP="00E05A12">
      <w:pPr>
        <w:spacing w:line="240" w:lineRule="auto"/>
        <w:ind w:left="720"/>
        <w:rPr>
          <w:rFonts w:asciiTheme="minorHAnsi" w:hAnsiTheme="minorHAnsi" w:cstheme="minorHAnsi"/>
          <w:color w:val="FF0000"/>
          <w:sz w:val="28"/>
          <w:szCs w:val="28"/>
        </w:rPr>
      </w:pPr>
      <w:r w:rsidRPr="00E05A12">
        <w:rPr>
          <w:rFonts w:asciiTheme="minorHAnsi" w:eastAsia="Times New Roman" w:hAnsiTheme="minorHAnsi" w:cstheme="minorHAnsi"/>
          <w:color w:val="FF0000"/>
          <w:sz w:val="28"/>
          <w:szCs w:val="28"/>
        </w:rPr>
        <w:t>Thus, no part the Account No. 921 labor amount of $1</w:t>
      </w:r>
      <w:r>
        <w:rPr>
          <w:rFonts w:asciiTheme="minorHAnsi" w:eastAsia="Times New Roman" w:hAnsiTheme="minorHAnsi" w:cstheme="minorHAnsi"/>
          <w:color w:val="FF0000"/>
          <w:sz w:val="28"/>
          <w:szCs w:val="28"/>
        </w:rPr>
        <w:t>5</w:t>
      </w:r>
      <w:r w:rsidRPr="00E05A12">
        <w:rPr>
          <w:rFonts w:asciiTheme="minorHAnsi" w:eastAsia="Times New Roman" w:hAnsiTheme="minorHAnsi" w:cstheme="minorHAnsi"/>
          <w:color w:val="FF0000"/>
          <w:sz w:val="28"/>
          <w:szCs w:val="28"/>
        </w:rPr>
        <w:t xml:space="preserve">,688,351 is capitalized into plant accounts but is </w:t>
      </w:r>
      <w:r>
        <w:rPr>
          <w:rFonts w:asciiTheme="minorHAnsi" w:eastAsia="Times New Roman" w:hAnsiTheme="minorHAnsi" w:cstheme="minorHAnsi"/>
          <w:color w:val="FF0000"/>
          <w:sz w:val="28"/>
          <w:szCs w:val="28"/>
        </w:rPr>
        <w:t xml:space="preserve">exclusively </w:t>
      </w:r>
      <w:r w:rsidRPr="00E05A12">
        <w:rPr>
          <w:rFonts w:asciiTheme="minorHAnsi" w:eastAsia="Times New Roman" w:hAnsiTheme="minorHAnsi" w:cstheme="minorHAnsi"/>
          <w:color w:val="FF0000"/>
          <w:sz w:val="28"/>
          <w:szCs w:val="28"/>
        </w:rPr>
        <w:t xml:space="preserve">included in the Grant PUD’s </w:t>
      </w:r>
      <w:r>
        <w:rPr>
          <w:rFonts w:asciiTheme="minorHAnsi" w:eastAsia="Times New Roman" w:hAnsiTheme="minorHAnsi" w:cstheme="minorHAnsi"/>
          <w:color w:val="FF0000"/>
          <w:sz w:val="28"/>
          <w:szCs w:val="28"/>
        </w:rPr>
        <w:t xml:space="preserve">Transmission COSS O&amp;M expense </w:t>
      </w:r>
      <w:r w:rsidRPr="00E05A12">
        <w:rPr>
          <w:rFonts w:asciiTheme="minorHAnsi" w:eastAsia="Times New Roman" w:hAnsiTheme="minorHAnsi" w:cstheme="minorHAnsi"/>
          <w:color w:val="FF0000"/>
          <w:sz w:val="28"/>
          <w:szCs w:val="28"/>
        </w:rPr>
        <w:t>determination.</w:t>
      </w:r>
    </w:p>
    <w:p w:rsidR="00360B77" w:rsidRDefault="00360B77" w:rsidP="00E05A12">
      <w:pPr>
        <w:spacing w:line="240" w:lineRule="auto"/>
        <w:ind w:left="720"/>
        <w:rPr>
          <w:rFonts w:asciiTheme="minorHAnsi" w:hAnsiTheme="minorHAnsi" w:cstheme="minorHAnsi"/>
          <w:color w:val="FF0000"/>
          <w:sz w:val="28"/>
          <w:szCs w:val="28"/>
        </w:rPr>
      </w:pPr>
    </w:p>
    <w:p w:rsidR="00DF6328" w:rsidRDefault="00CA4E9A" w:rsidP="00DB3635">
      <w:pPr>
        <w:spacing w:line="240" w:lineRule="auto"/>
        <w:ind w:left="720"/>
        <w:rPr>
          <w:rFonts w:asciiTheme="minorHAnsi" w:eastAsia="TimesNewRomanPSMT" w:hAnsiTheme="minorHAnsi" w:cstheme="minorHAnsi"/>
          <w:color w:val="FF0000"/>
          <w:sz w:val="28"/>
          <w:szCs w:val="28"/>
        </w:rPr>
      </w:pPr>
      <w:r>
        <w:rPr>
          <w:rFonts w:asciiTheme="minorHAnsi" w:eastAsia="Times New Roman" w:hAnsiTheme="minorHAnsi" w:cstheme="minorHAnsi"/>
          <w:color w:val="FF0000"/>
          <w:sz w:val="28"/>
          <w:szCs w:val="28"/>
        </w:rPr>
        <w:t>For further support of this position</w:t>
      </w:r>
      <w:r w:rsidR="00DB3635">
        <w:rPr>
          <w:rFonts w:asciiTheme="minorHAnsi" w:eastAsia="Times New Roman" w:hAnsiTheme="minorHAnsi" w:cstheme="minorHAnsi"/>
          <w:color w:val="FF0000"/>
          <w:sz w:val="28"/>
          <w:szCs w:val="28"/>
        </w:rPr>
        <w:t xml:space="preserve">, see </w:t>
      </w:r>
      <w:r w:rsidR="00DF6328">
        <w:rPr>
          <w:rFonts w:asciiTheme="minorHAnsi" w:eastAsia="Times New Roman" w:hAnsiTheme="minorHAnsi" w:cstheme="minorHAnsi"/>
          <w:color w:val="FF0000"/>
          <w:sz w:val="28"/>
          <w:szCs w:val="28"/>
        </w:rPr>
        <w:t xml:space="preserve">Grant PUD </w:t>
      </w:r>
      <w:r w:rsidR="00667A92">
        <w:rPr>
          <w:rFonts w:asciiTheme="minorHAnsi" w:eastAsia="TimesNewRomanPSMT" w:hAnsiTheme="minorHAnsi" w:cstheme="minorHAnsi"/>
          <w:color w:val="FF0000"/>
          <w:sz w:val="28"/>
          <w:szCs w:val="28"/>
        </w:rPr>
        <w:t xml:space="preserve">response to USBR’s </w:t>
      </w:r>
      <w:r w:rsidR="00DF6328">
        <w:rPr>
          <w:rFonts w:asciiTheme="minorHAnsi" w:eastAsia="TimesNewRomanPSMT" w:hAnsiTheme="minorHAnsi" w:cstheme="minorHAnsi"/>
          <w:color w:val="FF0000"/>
          <w:sz w:val="28"/>
          <w:szCs w:val="28"/>
        </w:rPr>
        <w:t xml:space="preserve">August 27, 2019 </w:t>
      </w:r>
      <w:r w:rsidR="00DB3635">
        <w:rPr>
          <w:rFonts w:asciiTheme="minorHAnsi" w:eastAsia="TimesNewRomanPSMT" w:hAnsiTheme="minorHAnsi" w:cstheme="minorHAnsi"/>
          <w:color w:val="FF0000"/>
          <w:sz w:val="28"/>
          <w:szCs w:val="28"/>
        </w:rPr>
        <w:t>Q</w:t>
      </w:r>
      <w:r w:rsidR="00667A92">
        <w:rPr>
          <w:rFonts w:asciiTheme="minorHAnsi" w:eastAsia="TimesNewRomanPSMT" w:hAnsiTheme="minorHAnsi" w:cstheme="minorHAnsi"/>
          <w:color w:val="FF0000"/>
          <w:sz w:val="28"/>
          <w:szCs w:val="28"/>
        </w:rPr>
        <w:t>uestion No. 10</w:t>
      </w:r>
      <w:r w:rsidR="00DF6328">
        <w:rPr>
          <w:rFonts w:asciiTheme="minorHAnsi" w:eastAsia="TimesNewRomanPSMT" w:hAnsiTheme="minorHAnsi" w:cstheme="minorHAnsi"/>
          <w:color w:val="FF0000"/>
          <w:sz w:val="28"/>
          <w:szCs w:val="28"/>
        </w:rPr>
        <w:t>, which states:</w:t>
      </w:r>
    </w:p>
    <w:p w:rsidR="00DF6328" w:rsidRDefault="00DF6328" w:rsidP="00DB3635">
      <w:pPr>
        <w:spacing w:line="240" w:lineRule="auto"/>
        <w:ind w:left="720"/>
        <w:rPr>
          <w:rFonts w:asciiTheme="minorHAnsi" w:eastAsia="TimesNewRomanPSMT" w:hAnsiTheme="minorHAnsi" w:cstheme="minorHAnsi"/>
          <w:color w:val="FF0000"/>
          <w:sz w:val="28"/>
          <w:szCs w:val="28"/>
        </w:rPr>
      </w:pPr>
    </w:p>
    <w:p w:rsidR="00667A92" w:rsidRPr="00DF6328" w:rsidRDefault="00667A92" w:rsidP="00360B77">
      <w:pPr>
        <w:spacing w:line="240" w:lineRule="auto"/>
        <w:ind w:left="1440"/>
        <w:rPr>
          <w:rFonts w:asciiTheme="minorHAnsi" w:eastAsia="TimesNewRomanPSMT" w:hAnsiTheme="minorHAnsi" w:cstheme="minorHAnsi"/>
          <w:i/>
          <w:color w:val="FF0000"/>
          <w:sz w:val="28"/>
          <w:szCs w:val="28"/>
        </w:rPr>
      </w:pPr>
      <w:r w:rsidRPr="00DF6328">
        <w:rPr>
          <w:rFonts w:asciiTheme="minorHAnsi" w:eastAsia="TimesNewRomanPSMT" w:hAnsiTheme="minorHAnsi" w:cstheme="minorHAnsi"/>
          <w:i/>
          <w:color w:val="FF0000"/>
          <w:sz w:val="28"/>
          <w:szCs w:val="28"/>
        </w:rPr>
        <w:t>Grant PUD uses the FERC Uniform Chart of Accounts to record all district transactions, such as Operation and Maintenance (O&amp;M) expenses and Plant in Service.  As explained in Grant PUD’s</w:t>
      </w:r>
      <w:r w:rsidR="00DF6328">
        <w:rPr>
          <w:rFonts w:asciiTheme="minorHAnsi" w:eastAsia="TimesNewRomanPSMT" w:hAnsiTheme="minorHAnsi" w:cstheme="minorHAnsi"/>
          <w:i/>
          <w:color w:val="FF0000"/>
          <w:sz w:val="28"/>
          <w:szCs w:val="28"/>
        </w:rPr>
        <w:t xml:space="preserve"> 2018</w:t>
      </w:r>
      <w:r w:rsidRPr="00DF6328">
        <w:rPr>
          <w:rFonts w:asciiTheme="minorHAnsi" w:eastAsia="TimesNewRomanPSMT" w:hAnsiTheme="minorHAnsi" w:cstheme="minorHAnsi"/>
          <w:i/>
          <w:color w:val="FF0000"/>
          <w:sz w:val="28"/>
          <w:szCs w:val="28"/>
        </w:rPr>
        <w:t xml:space="preserve"> annual report, Notes to the Financial Statements, Note 1, on page 33:</w:t>
      </w:r>
    </w:p>
    <w:p w:rsidR="00667A92" w:rsidRPr="00667A92" w:rsidRDefault="00667A92" w:rsidP="00667A92">
      <w:pPr>
        <w:autoSpaceDE w:val="0"/>
        <w:autoSpaceDN w:val="0"/>
        <w:adjustRightInd w:val="0"/>
        <w:spacing w:line="240" w:lineRule="auto"/>
        <w:rPr>
          <w:rFonts w:asciiTheme="minorHAnsi" w:eastAsia="TimesNewRomanPSMT" w:hAnsiTheme="minorHAnsi" w:cstheme="minorHAnsi"/>
          <w:color w:val="FF0000"/>
          <w:sz w:val="28"/>
          <w:szCs w:val="28"/>
        </w:rPr>
      </w:pPr>
    </w:p>
    <w:p w:rsidR="00667A92" w:rsidRPr="00667A92" w:rsidRDefault="00DF6328" w:rsidP="00360B77">
      <w:pPr>
        <w:autoSpaceDE w:val="0"/>
        <w:autoSpaceDN w:val="0"/>
        <w:adjustRightInd w:val="0"/>
        <w:spacing w:line="240" w:lineRule="auto"/>
        <w:ind w:left="2160"/>
        <w:rPr>
          <w:rFonts w:asciiTheme="minorHAnsi" w:eastAsia="TimesNewRomanPSMT" w:hAnsiTheme="minorHAnsi" w:cstheme="minorHAnsi"/>
          <w:i/>
          <w:color w:val="FF0000"/>
          <w:sz w:val="28"/>
          <w:szCs w:val="28"/>
        </w:rPr>
      </w:pPr>
      <w:r>
        <w:rPr>
          <w:rFonts w:asciiTheme="minorHAnsi" w:eastAsia="TimesNewRomanPSMT" w:hAnsiTheme="minorHAnsi" w:cstheme="minorHAnsi"/>
          <w:i/>
          <w:color w:val="FF0000"/>
          <w:sz w:val="28"/>
          <w:szCs w:val="28"/>
        </w:rPr>
        <w:t>“</w:t>
      </w:r>
      <w:r w:rsidR="00667A92" w:rsidRPr="00667A92">
        <w:rPr>
          <w:rFonts w:asciiTheme="minorHAnsi" w:eastAsia="TimesNewRomanPSMT" w:hAnsiTheme="minorHAnsi" w:cstheme="minorHAnsi"/>
          <w:i/>
          <w:color w:val="FF0000"/>
          <w:sz w:val="28"/>
          <w:szCs w:val="28"/>
        </w:rPr>
        <w:t>The District maintains its accounts in accordance with</w:t>
      </w:r>
      <w:r w:rsidR="00360B77">
        <w:rPr>
          <w:rFonts w:asciiTheme="minorHAnsi" w:eastAsia="TimesNewRomanPSMT" w:hAnsiTheme="minorHAnsi" w:cstheme="minorHAnsi"/>
          <w:i/>
          <w:color w:val="FF0000"/>
          <w:sz w:val="28"/>
          <w:szCs w:val="28"/>
        </w:rPr>
        <w:tab/>
      </w:r>
      <w:r w:rsidR="00667A92" w:rsidRPr="00667A92">
        <w:rPr>
          <w:rFonts w:asciiTheme="minorHAnsi" w:eastAsia="TimesNewRomanPSMT" w:hAnsiTheme="minorHAnsi" w:cstheme="minorHAnsi"/>
          <w:i/>
          <w:color w:val="FF0000"/>
          <w:sz w:val="28"/>
          <w:szCs w:val="28"/>
        </w:rPr>
        <w:t xml:space="preserve"> accounting principles generally accepted in the United States of America for proprietary funds as prescribed by the Governmental Accounting Standards Board (“GASB”). The District’s accounting records generally follow the Uniform System of Accounts for public utilities and licenses prescribed by FERC.  The accompanying financial statements are those of the District, which generates, transmits, and distributes electric energy and wholesale fiber optic network services within Grant County, Washington</w:t>
      </w:r>
      <w:r>
        <w:rPr>
          <w:rFonts w:asciiTheme="minorHAnsi" w:eastAsia="TimesNewRomanPSMT" w:hAnsiTheme="minorHAnsi" w:cstheme="minorHAnsi"/>
          <w:i/>
          <w:color w:val="FF0000"/>
          <w:sz w:val="28"/>
          <w:szCs w:val="28"/>
        </w:rPr>
        <w:t>”.</w:t>
      </w:r>
      <w:r w:rsidR="00667A92" w:rsidRPr="00667A92">
        <w:rPr>
          <w:rFonts w:asciiTheme="minorHAnsi" w:eastAsia="TimesNewRomanPSMT" w:hAnsiTheme="minorHAnsi" w:cstheme="minorHAnsi"/>
          <w:i/>
          <w:color w:val="FF0000"/>
          <w:sz w:val="28"/>
          <w:szCs w:val="28"/>
        </w:rPr>
        <w:t xml:space="preserve"> </w:t>
      </w:r>
    </w:p>
    <w:p w:rsidR="00667A92" w:rsidRPr="00667A92" w:rsidRDefault="00667A92" w:rsidP="00667A92">
      <w:pPr>
        <w:autoSpaceDE w:val="0"/>
        <w:autoSpaceDN w:val="0"/>
        <w:adjustRightInd w:val="0"/>
        <w:spacing w:line="240" w:lineRule="auto"/>
        <w:rPr>
          <w:rFonts w:asciiTheme="minorHAnsi" w:eastAsia="TimesNewRomanPSMT" w:hAnsiTheme="minorHAnsi" w:cstheme="minorHAnsi"/>
          <w:color w:val="FF0000"/>
          <w:sz w:val="28"/>
          <w:szCs w:val="28"/>
        </w:rPr>
      </w:pPr>
    </w:p>
    <w:p w:rsidR="00667A92" w:rsidRPr="00DF6328" w:rsidRDefault="00667A92" w:rsidP="00360B77">
      <w:pPr>
        <w:autoSpaceDE w:val="0"/>
        <w:autoSpaceDN w:val="0"/>
        <w:adjustRightInd w:val="0"/>
        <w:spacing w:line="240" w:lineRule="auto"/>
        <w:ind w:left="1440"/>
        <w:rPr>
          <w:rFonts w:asciiTheme="minorHAnsi" w:eastAsia="TimesNewRomanPSMT" w:hAnsiTheme="minorHAnsi" w:cstheme="minorHAnsi"/>
          <w:i/>
          <w:color w:val="FF0000"/>
          <w:sz w:val="28"/>
          <w:szCs w:val="28"/>
        </w:rPr>
      </w:pPr>
      <w:r w:rsidRPr="00DF6328">
        <w:rPr>
          <w:rFonts w:asciiTheme="minorHAnsi" w:eastAsia="TimesNewRomanPSMT" w:hAnsiTheme="minorHAnsi" w:cstheme="minorHAnsi"/>
          <w:i/>
          <w:color w:val="FF0000"/>
          <w:sz w:val="28"/>
          <w:szCs w:val="28"/>
        </w:rPr>
        <w:lastRenderedPageBreak/>
        <w:t>Grant PUD’s external auditor’s (</w:t>
      </w:r>
      <w:proofErr w:type="spellStart"/>
      <w:r w:rsidRPr="00DF6328">
        <w:rPr>
          <w:rFonts w:asciiTheme="minorHAnsi" w:eastAsia="TimesNewRomanPSMT" w:hAnsiTheme="minorHAnsi" w:cstheme="minorHAnsi"/>
          <w:i/>
          <w:color w:val="FF0000"/>
          <w:sz w:val="28"/>
          <w:szCs w:val="28"/>
        </w:rPr>
        <w:t>MossAdams</w:t>
      </w:r>
      <w:proofErr w:type="spellEnd"/>
      <w:r w:rsidRPr="00DF6328">
        <w:rPr>
          <w:rFonts w:asciiTheme="minorHAnsi" w:eastAsia="TimesNewRomanPSMT" w:hAnsiTheme="minorHAnsi" w:cstheme="minorHAnsi"/>
          <w:i/>
          <w:color w:val="FF0000"/>
          <w:sz w:val="28"/>
          <w:szCs w:val="28"/>
        </w:rPr>
        <w:t xml:space="preserve"> LLP) opinion (previously provided in its July 25, 2019 Reply to July 10 Comments, as Attachment A) states:</w:t>
      </w:r>
    </w:p>
    <w:p w:rsidR="00667A92" w:rsidRPr="00667A92" w:rsidRDefault="00667A92" w:rsidP="00667A92">
      <w:pPr>
        <w:autoSpaceDE w:val="0"/>
        <w:autoSpaceDN w:val="0"/>
        <w:adjustRightInd w:val="0"/>
        <w:spacing w:line="240" w:lineRule="auto"/>
        <w:rPr>
          <w:rFonts w:asciiTheme="minorHAnsi" w:eastAsia="TimesNewRomanPSMT" w:hAnsiTheme="minorHAnsi" w:cstheme="minorHAnsi"/>
          <w:color w:val="FF0000"/>
          <w:sz w:val="28"/>
          <w:szCs w:val="28"/>
        </w:rPr>
      </w:pPr>
    </w:p>
    <w:p w:rsidR="00667A92" w:rsidRPr="00667A92" w:rsidRDefault="00DF6328" w:rsidP="00360B77">
      <w:pPr>
        <w:autoSpaceDE w:val="0"/>
        <w:autoSpaceDN w:val="0"/>
        <w:adjustRightInd w:val="0"/>
        <w:spacing w:line="240" w:lineRule="auto"/>
        <w:ind w:left="2160"/>
        <w:rPr>
          <w:rFonts w:asciiTheme="minorHAnsi" w:eastAsia="TimesNewRomanPSMT" w:hAnsiTheme="minorHAnsi" w:cstheme="minorHAnsi"/>
          <w:i/>
          <w:color w:val="FF0000"/>
          <w:sz w:val="28"/>
          <w:szCs w:val="28"/>
        </w:rPr>
      </w:pPr>
      <w:r>
        <w:rPr>
          <w:rFonts w:asciiTheme="minorHAnsi" w:eastAsia="TimesNewRomanPSMT" w:hAnsiTheme="minorHAnsi" w:cstheme="minorHAnsi"/>
          <w:i/>
          <w:color w:val="FF0000"/>
          <w:sz w:val="28"/>
          <w:szCs w:val="28"/>
        </w:rPr>
        <w:t>“</w:t>
      </w:r>
      <w:r w:rsidR="00667A92" w:rsidRPr="00667A92">
        <w:rPr>
          <w:rFonts w:asciiTheme="minorHAnsi" w:eastAsia="TimesNewRomanPSMT" w:hAnsiTheme="minorHAnsi" w:cstheme="minorHAnsi"/>
          <w:i/>
          <w:color w:val="FF0000"/>
          <w:sz w:val="28"/>
          <w:szCs w:val="28"/>
        </w:rPr>
        <w:t>In our opinion, the financial statements referred to above present fairly, in all material respects, the financial position of the District as of December 31, 2018, and its cash flows for the year then ended in accordance with accounting principles generally accepted in the United States of America</w:t>
      </w:r>
      <w:r>
        <w:rPr>
          <w:rFonts w:asciiTheme="minorHAnsi" w:eastAsia="TimesNewRomanPSMT" w:hAnsiTheme="minorHAnsi" w:cstheme="minorHAnsi"/>
          <w:i/>
          <w:color w:val="FF0000"/>
          <w:sz w:val="28"/>
          <w:szCs w:val="28"/>
        </w:rPr>
        <w:t>”</w:t>
      </w:r>
      <w:r w:rsidR="00667A92" w:rsidRPr="00667A92">
        <w:rPr>
          <w:rFonts w:asciiTheme="minorHAnsi" w:eastAsia="TimesNewRomanPSMT" w:hAnsiTheme="minorHAnsi" w:cstheme="minorHAnsi"/>
          <w:i/>
          <w:color w:val="FF0000"/>
          <w:sz w:val="28"/>
          <w:szCs w:val="28"/>
        </w:rPr>
        <w:t>.</w:t>
      </w:r>
    </w:p>
    <w:p w:rsidR="00667A92" w:rsidRDefault="00667A92" w:rsidP="004927AA">
      <w:pPr>
        <w:spacing w:line="240" w:lineRule="auto"/>
        <w:rPr>
          <w:rFonts w:asciiTheme="minorHAnsi" w:eastAsia="Times New Roman" w:hAnsiTheme="minorHAnsi" w:cstheme="minorHAnsi"/>
          <w:sz w:val="28"/>
          <w:szCs w:val="28"/>
        </w:rPr>
      </w:pPr>
    </w:p>
    <w:p w:rsidR="00667A92" w:rsidRDefault="00667A92" w:rsidP="004927AA">
      <w:pPr>
        <w:spacing w:line="240" w:lineRule="auto"/>
        <w:rPr>
          <w:rFonts w:asciiTheme="minorHAnsi" w:eastAsia="Times New Roman" w:hAnsiTheme="minorHAnsi" w:cstheme="minorHAnsi"/>
          <w:sz w:val="28"/>
          <w:szCs w:val="28"/>
        </w:rPr>
      </w:pPr>
    </w:p>
    <w:p w:rsidR="004927AA" w:rsidRDefault="004927AA" w:rsidP="004927AA">
      <w:pPr>
        <w:spacing w:line="240" w:lineRule="auto"/>
        <w:rPr>
          <w:rFonts w:asciiTheme="minorHAnsi" w:eastAsia="Times New Roman" w:hAnsiTheme="minorHAnsi" w:cstheme="minorHAnsi"/>
          <w:sz w:val="28"/>
          <w:szCs w:val="28"/>
        </w:rPr>
      </w:pPr>
      <w:r w:rsidRPr="004927AA">
        <w:rPr>
          <w:rFonts w:asciiTheme="minorHAnsi" w:eastAsia="Times New Roman" w:hAnsiTheme="minorHAnsi" w:cstheme="minorHAnsi"/>
          <w:b/>
          <w:sz w:val="28"/>
          <w:szCs w:val="28"/>
          <w:u w:val="single"/>
        </w:rPr>
        <w:t xml:space="preserve">Question No. 3 - </w:t>
      </w:r>
      <w:r w:rsidRPr="004927AA">
        <w:rPr>
          <w:rFonts w:asciiTheme="minorHAnsi" w:eastAsia="Times New Roman" w:hAnsiTheme="minorHAnsi" w:cstheme="minorHAnsi"/>
          <w:sz w:val="28"/>
          <w:szCs w:val="28"/>
        </w:rPr>
        <w:t>Pursuant to the same open records request from Question 2, please explain why certain costs that seem related to Generation still show up as a line item contributing to Generation are included in the calculation. For example, there are line items with “QC”, “PEC” or “PRP”.</w:t>
      </w:r>
    </w:p>
    <w:p w:rsidR="00667A92" w:rsidRDefault="00667A92" w:rsidP="004927AA">
      <w:pPr>
        <w:spacing w:line="240" w:lineRule="auto"/>
        <w:rPr>
          <w:rFonts w:asciiTheme="minorHAnsi" w:eastAsia="Times New Roman" w:hAnsiTheme="minorHAnsi" w:cstheme="minorHAnsi"/>
          <w:sz w:val="28"/>
          <w:szCs w:val="28"/>
        </w:rPr>
      </w:pPr>
    </w:p>
    <w:p w:rsidR="00C813AC" w:rsidRPr="007F34D1" w:rsidRDefault="00C813AC" w:rsidP="008B40E0">
      <w:pPr>
        <w:spacing w:line="240" w:lineRule="auto"/>
        <w:ind w:left="720"/>
        <w:rPr>
          <w:rFonts w:asciiTheme="minorHAnsi" w:eastAsia="Times New Roman" w:hAnsiTheme="minorHAnsi" w:cstheme="minorHAnsi"/>
          <w:color w:val="FF0000"/>
          <w:sz w:val="28"/>
          <w:szCs w:val="28"/>
        </w:rPr>
      </w:pPr>
      <w:r w:rsidRPr="007F34D1">
        <w:rPr>
          <w:rFonts w:asciiTheme="minorHAnsi" w:eastAsia="Times New Roman" w:hAnsiTheme="minorHAnsi" w:cstheme="minorHAnsi"/>
          <w:color w:val="FF0000"/>
          <w:sz w:val="28"/>
          <w:szCs w:val="28"/>
        </w:rPr>
        <w:t xml:space="preserve">To the extent </w:t>
      </w:r>
      <w:r w:rsidR="008B40E0" w:rsidRPr="007F34D1">
        <w:rPr>
          <w:rFonts w:asciiTheme="minorHAnsi" w:eastAsia="Times New Roman" w:hAnsiTheme="minorHAnsi" w:cstheme="minorHAnsi"/>
          <w:color w:val="FF0000"/>
          <w:sz w:val="28"/>
          <w:szCs w:val="28"/>
        </w:rPr>
        <w:t xml:space="preserve">O&amp;M expenses </w:t>
      </w:r>
      <w:r w:rsidR="006643FF" w:rsidRPr="007F34D1">
        <w:rPr>
          <w:rFonts w:asciiTheme="minorHAnsi" w:eastAsia="Times New Roman" w:hAnsiTheme="minorHAnsi" w:cstheme="minorHAnsi"/>
          <w:color w:val="FF0000"/>
          <w:sz w:val="28"/>
          <w:szCs w:val="28"/>
        </w:rPr>
        <w:t>are recorded</w:t>
      </w:r>
      <w:r w:rsidR="008B40E0" w:rsidRPr="007F34D1">
        <w:rPr>
          <w:rFonts w:asciiTheme="minorHAnsi" w:eastAsia="Times New Roman" w:hAnsiTheme="minorHAnsi" w:cstheme="minorHAnsi"/>
          <w:color w:val="FF0000"/>
          <w:sz w:val="28"/>
          <w:szCs w:val="28"/>
        </w:rPr>
        <w:t xml:space="preserve"> with the “QC” (Quincy Chute), “PEC” Potholes East Canal, or “PRP” (Priest Rapids Project) </w:t>
      </w:r>
      <w:r w:rsidR="00BE3122">
        <w:rPr>
          <w:rFonts w:asciiTheme="minorHAnsi" w:eastAsia="Times New Roman" w:hAnsiTheme="minorHAnsi" w:cstheme="minorHAnsi"/>
          <w:color w:val="FF0000"/>
          <w:sz w:val="28"/>
          <w:szCs w:val="28"/>
        </w:rPr>
        <w:t>code</w:t>
      </w:r>
      <w:r w:rsidR="008B40E0" w:rsidRPr="007F34D1">
        <w:rPr>
          <w:rFonts w:asciiTheme="minorHAnsi" w:eastAsia="Times New Roman" w:hAnsiTheme="minorHAnsi" w:cstheme="minorHAnsi"/>
          <w:color w:val="FF0000"/>
          <w:sz w:val="28"/>
          <w:szCs w:val="28"/>
        </w:rPr>
        <w:t>, the O&amp;M expenses are functionalized based</w:t>
      </w:r>
      <w:r w:rsidR="007F34D1">
        <w:rPr>
          <w:rFonts w:asciiTheme="minorHAnsi" w:eastAsia="Times New Roman" w:hAnsiTheme="minorHAnsi" w:cstheme="minorHAnsi"/>
          <w:color w:val="FF0000"/>
          <w:sz w:val="28"/>
          <w:szCs w:val="28"/>
        </w:rPr>
        <w:t xml:space="preserve"> on</w:t>
      </w:r>
      <w:r w:rsidR="008B40E0" w:rsidRPr="007F34D1">
        <w:rPr>
          <w:rFonts w:asciiTheme="minorHAnsi" w:eastAsia="Times New Roman" w:hAnsiTheme="minorHAnsi" w:cstheme="minorHAnsi"/>
          <w:color w:val="FF0000"/>
          <w:sz w:val="28"/>
          <w:szCs w:val="28"/>
        </w:rPr>
        <w:t xml:space="preserve"> where the work was performed.  As noted in previous Grant PUD responses, where </w:t>
      </w:r>
      <w:r w:rsidR="00BE3122">
        <w:rPr>
          <w:rFonts w:asciiTheme="minorHAnsi" w:eastAsia="Times New Roman" w:hAnsiTheme="minorHAnsi" w:cstheme="minorHAnsi"/>
          <w:color w:val="FF0000"/>
          <w:sz w:val="28"/>
          <w:szCs w:val="28"/>
        </w:rPr>
        <w:t xml:space="preserve">generation facilities </w:t>
      </w:r>
      <w:r w:rsidR="008B40E0" w:rsidRPr="007F34D1">
        <w:rPr>
          <w:rFonts w:asciiTheme="minorHAnsi" w:eastAsia="Times New Roman" w:hAnsiTheme="minorHAnsi" w:cstheme="minorHAnsi"/>
          <w:color w:val="FF0000"/>
          <w:sz w:val="28"/>
          <w:szCs w:val="28"/>
        </w:rPr>
        <w:t>work is p</w:t>
      </w:r>
      <w:r w:rsidR="00BE3122">
        <w:rPr>
          <w:rFonts w:asciiTheme="minorHAnsi" w:eastAsia="Times New Roman" w:hAnsiTheme="minorHAnsi" w:cstheme="minorHAnsi"/>
          <w:color w:val="FF0000"/>
          <w:sz w:val="28"/>
          <w:szCs w:val="28"/>
        </w:rPr>
        <w:t>er</w:t>
      </w:r>
      <w:r w:rsidR="008B40E0" w:rsidRPr="007F34D1">
        <w:rPr>
          <w:rFonts w:asciiTheme="minorHAnsi" w:eastAsia="Times New Roman" w:hAnsiTheme="minorHAnsi" w:cstheme="minorHAnsi"/>
          <w:color w:val="FF0000"/>
          <w:sz w:val="28"/>
          <w:szCs w:val="28"/>
        </w:rPr>
        <w:t xml:space="preserve">formed, </w:t>
      </w:r>
      <w:r w:rsidR="006643FF" w:rsidRPr="007F34D1">
        <w:rPr>
          <w:rFonts w:asciiTheme="minorHAnsi" w:eastAsia="Times New Roman" w:hAnsiTheme="minorHAnsi" w:cstheme="minorHAnsi"/>
          <w:color w:val="FF0000"/>
          <w:sz w:val="28"/>
          <w:szCs w:val="28"/>
        </w:rPr>
        <w:t xml:space="preserve">then the </w:t>
      </w:r>
      <w:r w:rsidR="008B40E0" w:rsidRPr="007F34D1">
        <w:rPr>
          <w:rFonts w:asciiTheme="minorHAnsi" w:eastAsia="Times New Roman" w:hAnsiTheme="minorHAnsi" w:cstheme="minorHAnsi"/>
          <w:color w:val="FF0000"/>
          <w:sz w:val="28"/>
          <w:szCs w:val="28"/>
        </w:rPr>
        <w:t xml:space="preserve">related O&amp;M expenses are recorded in the generation function.  If the </w:t>
      </w:r>
      <w:r w:rsidR="00BE3122">
        <w:rPr>
          <w:rFonts w:asciiTheme="minorHAnsi" w:eastAsia="Times New Roman" w:hAnsiTheme="minorHAnsi" w:cstheme="minorHAnsi"/>
          <w:color w:val="FF0000"/>
          <w:sz w:val="28"/>
          <w:szCs w:val="28"/>
        </w:rPr>
        <w:t xml:space="preserve">performed </w:t>
      </w:r>
      <w:r w:rsidR="008B40E0" w:rsidRPr="007F34D1">
        <w:rPr>
          <w:rFonts w:asciiTheme="minorHAnsi" w:eastAsia="Times New Roman" w:hAnsiTheme="minorHAnsi" w:cstheme="minorHAnsi"/>
          <w:color w:val="FF0000"/>
          <w:sz w:val="28"/>
          <w:szCs w:val="28"/>
        </w:rPr>
        <w:t xml:space="preserve">work is on transmission facilities, then the </w:t>
      </w:r>
      <w:r w:rsidR="00BE3122">
        <w:rPr>
          <w:rFonts w:asciiTheme="minorHAnsi" w:eastAsia="Times New Roman" w:hAnsiTheme="minorHAnsi" w:cstheme="minorHAnsi"/>
          <w:color w:val="FF0000"/>
          <w:sz w:val="28"/>
          <w:szCs w:val="28"/>
        </w:rPr>
        <w:t xml:space="preserve">related </w:t>
      </w:r>
      <w:r w:rsidR="008B40E0" w:rsidRPr="007F34D1">
        <w:rPr>
          <w:rFonts w:asciiTheme="minorHAnsi" w:eastAsia="Times New Roman" w:hAnsiTheme="minorHAnsi" w:cstheme="minorHAnsi"/>
          <w:color w:val="FF0000"/>
          <w:sz w:val="28"/>
          <w:szCs w:val="28"/>
        </w:rPr>
        <w:t xml:space="preserve">O&amp;M expenses are recorded in the transmission </w:t>
      </w:r>
      <w:r w:rsidR="00BE3122">
        <w:rPr>
          <w:rFonts w:asciiTheme="minorHAnsi" w:eastAsia="Times New Roman" w:hAnsiTheme="minorHAnsi" w:cstheme="minorHAnsi"/>
          <w:color w:val="FF0000"/>
          <w:sz w:val="28"/>
          <w:szCs w:val="28"/>
        </w:rPr>
        <w:t>function</w:t>
      </w:r>
      <w:r w:rsidR="008B40E0" w:rsidRPr="007F34D1">
        <w:rPr>
          <w:rFonts w:asciiTheme="minorHAnsi" w:eastAsia="Times New Roman" w:hAnsiTheme="minorHAnsi" w:cstheme="minorHAnsi"/>
          <w:color w:val="FF0000"/>
          <w:sz w:val="28"/>
          <w:szCs w:val="28"/>
        </w:rPr>
        <w:t xml:space="preserve">.             </w:t>
      </w:r>
    </w:p>
    <w:p w:rsidR="00C813AC" w:rsidRPr="007F34D1" w:rsidRDefault="00C813AC" w:rsidP="004927AA">
      <w:pPr>
        <w:spacing w:line="240" w:lineRule="auto"/>
        <w:rPr>
          <w:rFonts w:asciiTheme="minorHAnsi" w:eastAsia="Times New Roman" w:hAnsiTheme="minorHAnsi" w:cstheme="minorHAnsi"/>
          <w:color w:val="FF0000"/>
          <w:sz w:val="28"/>
          <w:szCs w:val="28"/>
        </w:rPr>
      </w:pPr>
    </w:p>
    <w:p w:rsidR="006973D8" w:rsidRPr="00BE040C" w:rsidRDefault="006973D8" w:rsidP="006973D8">
      <w:pPr>
        <w:spacing w:line="240" w:lineRule="auto"/>
        <w:ind w:left="720"/>
        <w:rPr>
          <w:rFonts w:asciiTheme="minorHAnsi" w:eastAsia="Times New Roman" w:hAnsiTheme="minorHAnsi" w:cstheme="minorHAnsi"/>
          <w:color w:val="FF0000"/>
          <w:sz w:val="28"/>
          <w:szCs w:val="28"/>
        </w:rPr>
      </w:pPr>
      <w:r w:rsidRPr="007F34D1">
        <w:rPr>
          <w:rFonts w:asciiTheme="minorHAnsi" w:eastAsia="Times New Roman" w:hAnsiTheme="minorHAnsi" w:cstheme="minorHAnsi"/>
          <w:color w:val="FF0000"/>
          <w:sz w:val="28"/>
          <w:szCs w:val="28"/>
        </w:rPr>
        <w:t xml:space="preserve">Grant PUD continues to support </w:t>
      </w:r>
      <w:r w:rsidRPr="00BE040C">
        <w:rPr>
          <w:rFonts w:asciiTheme="minorHAnsi" w:eastAsia="Times New Roman" w:hAnsiTheme="minorHAnsi" w:cstheme="minorHAnsi"/>
          <w:color w:val="FF0000"/>
          <w:sz w:val="28"/>
          <w:szCs w:val="28"/>
        </w:rPr>
        <w:t xml:space="preserve">its position that part of the </w:t>
      </w:r>
      <w:r w:rsidR="006643FF">
        <w:rPr>
          <w:rFonts w:asciiTheme="minorHAnsi" w:eastAsia="Times New Roman" w:hAnsiTheme="minorHAnsi" w:cstheme="minorHAnsi"/>
          <w:color w:val="FF0000"/>
          <w:sz w:val="28"/>
          <w:szCs w:val="28"/>
        </w:rPr>
        <w:t>“</w:t>
      </w:r>
      <w:r w:rsidR="00AA048C">
        <w:rPr>
          <w:rFonts w:asciiTheme="minorHAnsi" w:eastAsia="Times New Roman" w:hAnsiTheme="minorHAnsi" w:cstheme="minorHAnsi"/>
          <w:color w:val="FF0000"/>
          <w:sz w:val="28"/>
          <w:szCs w:val="28"/>
        </w:rPr>
        <w:t>Q</w:t>
      </w:r>
      <w:r w:rsidR="006643FF">
        <w:rPr>
          <w:rFonts w:asciiTheme="minorHAnsi" w:eastAsia="Times New Roman" w:hAnsiTheme="minorHAnsi" w:cstheme="minorHAnsi"/>
          <w:color w:val="FF0000"/>
          <w:sz w:val="28"/>
          <w:szCs w:val="28"/>
        </w:rPr>
        <w:t>C”, “PEC” and “</w:t>
      </w:r>
      <w:r w:rsidRPr="00BE040C">
        <w:rPr>
          <w:rFonts w:asciiTheme="minorHAnsi" w:eastAsia="Times New Roman" w:hAnsiTheme="minorHAnsi" w:cstheme="minorHAnsi"/>
          <w:color w:val="FF0000"/>
          <w:sz w:val="28"/>
          <w:szCs w:val="28"/>
        </w:rPr>
        <w:t>PRP</w:t>
      </w:r>
      <w:r w:rsidR="006643FF">
        <w:rPr>
          <w:rFonts w:asciiTheme="minorHAnsi" w:eastAsia="Times New Roman" w:hAnsiTheme="minorHAnsi" w:cstheme="minorHAnsi"/>
          <w:color w:val="FF0000"/>
          <w:sz w:val="28"/>
          <w:szCs w:val="28"/>
        </w:rPr>
        <w:t>”</w:t>
      </w:r>
      <w:r w:rsidRPr="00BE040C">
        <w:rPr>
          <w:rFonts w:asciiTheme="minorHAnsi" w:eastAsia="Times New Roman" w:hAnsiTheme="minorHAnsi" w:cstheme="minorHAnsi"/>
          <w:color w:val="FF0000"/>
          <w:sz w:val="28"/>
          <w:szCs w:val="28"/>
        </w:rPr>
        <w:t xml:space="preserve"> facilities are appropriately classified as transmission and </w:t>
      </w:r>
      <w:r w:rsidR="007F34D1">
        <w:rPr>
          <w:rFonts w:asciiTheme="minorHAnsi" w:eastAsia="Times New Roman" w:hAnsiTheme="minorHAnsi" w:cstheme="minorHAnsi"/>
          <w:color w:val="FF0000"/>
          <w:sz w:val="28"/>
          <w:szCs w:val="28"/>
        </w:rPr>
        <w:t xml:space="preserve">related expenses </w:t>
      </w:r>
      <w:r w:rsidRPr="00BE040C">
        <w:rPr>
          <w:rFonts w:asciiTheme="minorHAnsi" w:eastAsia="Times New Roman" w:hAnsiTheme="minorHAnsi" w:cstheme="minorHAnsi"/>
          <w:color w:val="FF0000"/>
          <w:sz w:val="28"/>
          <w:szCs w:val="28"/>
        </w:rPr>
        <w:t>should recovered through Grant PUD’s transmission COSS.</w:t>
      </w:r>
    </w:p>
    <w:p w:rsidR="006973D8" w:rsidRDefault="006973D8" w:rsidP="004927AA">
      <w:pPr>
        <w:spacing w:line="240" w:lineRule="auto"/>
        <w:rPr>
          <w:rFonts w:asciiTheme="minorHAnsi" w:eastAsia="Times New Roman" w:hAnsiTheme="minorHAnsi" w:cstheme="minorHAnsi"/>
          <w:sz w:val="28"/>
          <w:szCs w:val="28"/>
        </w:rPr>
      </w:pPr>
    </w:p>
    <w:p w:rsidR="00463C72" w:rsidRPr="00BE040C" w:rsidRDefault="00BE3122" w:rsidP="00BE040C">
      <w:pPr>
        <w:spacing w:line="240" w:lineRule="auto"/>
        <w:ind w:left="720"/>
        <w:rPr>
          <w:rFonts w:asciiTheme="minorHAnsi" w:eastAsia="Times New Roman" w:hAnsiTheme="minorHAnsi" w:cstheme="minorHAnsi"/>
          <w:color w:val="FF0000"/>
          <w:sz w:val="28"/>
          <w:szCs w:val="28"/>
        </w:rPr>
      </w:pPr>
      <w:r>
        <w:rPr>
          <w:rFonts w:asciiTheme="minorHAnsi" w:eastAsia="Times New Roman" w:hAnsiTheme="minorHAnsi" w:cstheme="minorHAnsi"/>
          <w:color w:val="FF0000"/>
          <w:sz w:val="28"/>
          <w:szCs w:val="28"/>
        </w:rPr>
        <w:t xml:space="preserve">To further support </w:t>
      </w:r>
      <w:r w:rsidR="00CA4E9A">
        <w:rPr>
          <w:rFonts w:asciiTheme="minorHAnsi" w:eastAsia="Times New Roman" w:hAnsiTheme="minorHAnsi" w:cstheme="minorHAnsi"/>
          <w:color w:val="FF0000"/>
          <w:sz w:val="28"/>
          <w:szCs w:val="28"/>
        </w:rPr>
        <w:t>this</w:t>
      </w:r>
      <w:r>
        <w:rPr>
          <w:rFonts w:asciiTheme="minorHAnsi" w:eastAsia="Times New Roman" w:hAnsiTheme="minorHAnsi" w:cstheme="minorHAnsi"/>
          <w:color w:val="FF0000"/>
          <w:sz w:val="28"/>
          <w:szCs w:val="28"/>
        </w:rPr>
        <w:t xml:space="preserve"> position, </w:t>
      </w:r>
      <w:r w:rsidR="00463C72" w:rsidRPr="00BE040C">
        <w:rPr>
          <w:rFonts w:asciiTheme="minorHAnsi" w:eastAsia="Times New Roman" w:hAnsiTheme="minorHAnsi" w:cstheme="minorHAnsi"/>
          <w:color w:val="FF0000"/>
          <w:sz w:val="28"/>
          <w:szCs w:val="28"/>
        </w:rPr>
        <w:t xml:space="preserve">Grant PUD previously provided the following in its </w:t>
      </w:r>
      <w:r w:rsidR="006643FF">
        <w:rPr>
          <w:rFonts w:asciiTheme="minorHAnsi" w:eastAsia="Times New Roman" w:hAnsiTheme="minorHAnsi" w:cstheme="minorHAnsi"/>
          <w:color w:val="FF0000"/>
          <w:sz w:val="28"/>
          <w:szCs w:val="28"/>
        </w:rPr>
        <w:t>introduction</w:t>
      </w:r>
      <w:r w:rsidR="006D5483">
        <w:rPr>
          <w:rFonts w:asciiTheme="minorHAnsi" w:eastAsia="Times New Roman" w:hAnsiTheme="minorHAnsi" w:cstheme="minorHAnsi"/>
          <w:color w:val="FF0000"/>
          <w:sz w:val="28"/>
          <w:szCs w:val="28"/>
        </w:rPr>
        <w:t xml:space="preserve"> statement</w:t>
      </w:r>
      <w:r w:rsidR="006643FF">
        <w:rPr>
          <w:rFonts w:asciiTheme="minorHAnsi" w:eastAsia="Times New Roman" w:hAnsiTheme="minorHAnsi" w:cstheme="minorHAnsi"/>
          <w:color w:val="FF0000"/>
          <w:sz w:val="28"/>
          <w:szCs w:val="28"/>
        </w:rPr>
        <w:t xml:space="preserve"> to its </w:t>
      </w:r>
      <w:r w:rsidR="00463C72" w:rsidRPr="00BE040C">
        <w:rPr>
          <w:rFonts w:asciiTheme="minorHAnsi" w:eastAsia="Times New Roman" w:hAnsiTheme="minorHAnsi" w:cstheme="minorHAnsi"/>
          <w:color w:val="FF0000"/>
          <w:sz w:val="28"/>
          <w:szCs w:val="28"/>
        </w:rPr>
        <w:t>Reply to July 10 Comments:</w:t>
      </w:r>
    </w:p>
    <w:p w:rsidR="00667A92" w:rsidRPr="00BE040C" w:rsidRDefault="00667A92" w:rsidP="004927AA">
      <w:pPr>
        <w:spacing w:line="240" w:lineRule="auto"/>
        <w:rPr>
          <w:rFonts w:asciiTheme="minorHAnsi" w:eastAsia="Times New Roman" w:hAnsiTheme="minorHAnsi" w:cstheme="minorHAnsi"/>
          <w:color w:val="FF0000"/>
          <w:sz w:val="28"/>
          <w:szCs w:val="28"/>
        </w:rPr>
      </w:pPr>
    </w:p>
    <w:p w:rsidR="00463C72" w:rsidRPr="0060395B" w:rsidRDefault="00463C72" w:rsidP="00BE040C">
      <w:pPr>
        <w:pStyle w:val="BodyText"/>
        <w:ind w:left="900"/>
        <w:rPr>
          <w:rFonts w:asciiTheme="minorHAnsi" w:hAnsiTheme="minorHAnsi" w:cstheme="minorHAnsi"/>
          <w:i/>
          <w:color w:val="FF0000"/>
          <w:w w:val="105"/>
          <w:sz w:val="28"/>
          <w:szCs w:val="28"/>
        </w:rPr>
      </w:pPr>
      <w:r w:rsidRPr="0060395B">
        <w:rPr>
          <w:rFonts w:asciiTheme="minorHAnsi" w:hAnsiTheme="minorHAnsi" w:cstheme="minorHAnsi"/>
          <w:i/>
          <w:color w:val="FF0000"/>
          <w:w w:val="105"/>
          <w:sz w:val="28"/>
          <w:szCs w:val="28"/>
        </w:rPr>
        <w:t xml:space="preserve">A recurring theme within their comments is the fact that many of Grant PUD’s accounting titles include </w:t>
      </w:r>
      <w:r w:rsidRPr="0060395B">
        <w:rPr>
          <w:rFonts w:asciiTheme="minorHAnsi" w:hAnsiTheme="minorHAnsi" w:cstheme="minorHAnsi"/>
          <w:i/>
          <w:color w:val="FF0000"/>
          <w:sz w:val="28"/>
          <w:szCs w:val="28"/>
        </w:rPr>
        <w:t>“PRP” in the title, and the misconception that the Priest Rapids Project (“PRP”)-related costs</w:t>
      </w:r>
      <w:r w:rsidRPr="0060395B">
        <w:rPr>
          <w:rFonts w:asciiTheme="minorHAnsi" w:hAnsiTheme="minorHAnsi" w:cstheme="minorHAnsi"/>
          <w:i/>
          <w:color w:val="FF0000"/>
          <w:w w:val="105"/>
          <w:sz w:val="28"/>
          <w:szCs w:val="28"/>
        </w:rPr>
        <w:t xml:space="preserve"> are all generation costs. The April 17, 2008 Federal Energy Regulatory Commission’s </w:t>
      </w:r>
      <w:r w:rsidRPr="0060395B">
        <w:rPr>
          <w:rFonts w:asciiTheme="minorHAnsi" w:hAnsiTheme="minorHAnsi" w:cstheme="minorHAnsi"/>
          <w:i/>
          <w:color w:val="FF0000"/>
          <w:w w:val="105"/>
          <w:sz w:val="28"/>
          <w:szCs w:val="28"/>
          <w:u w:val="single"/>
        </w:rPr>
        <w:t>Order Issuing New License</w:t>
      </w:r>
      <w:r w:rsidRPr="0060395B">
        <w:rPr>
          <w:rFonts w:asciiTheme="minorHAnsi" w:hAnsiTheme="minorHAnsi" w:cstheme="minorHAnsi"/>
          <w:i/>
          <w:color w:val="FF0000"/>
          <w:w w:val="105"/>
          <w:sz w:val="28"/>
          <w:szCs w:val="28"/>
        </w:rPr>
        <w:t xml:space="preserve"> for continued operation of the Priest Rapids Project (available at </w:t>
      </w:r>
      <w:hyperlink r:id="rId4" w:history="1">
        <w:r w:rsidRPr="0060395B">
          <w:rPr>
            <w:rStyle w:val="Hyperlink"/>
            <w:rFonts w:ascii="Calibri" w:hAnsi="Calibri" w:cs="Calibri"/>
            <w:i/>
            <w:color w:val="FF0000"/>
            <w:sz w:val="28"/>
            <w:szCs w:val="28"/>
          </w:rPr>
          <w:t>https://www.grantpud.org/templates/galaxy/images/images/Downloads/About/Environment/ShorelineManagement/PriestRapidsProjectLicenseh1.pdf</w:t>
        </w:r>
      </w:hyperlink>
      <w:r w:rsidRPr="0060395B">
        <w:rPr>
          <w:rFonts w:ascii="Calibri" w:hAnsi="Calibri" w:cs="Calibri"/>
          <w:i/>
          <w:color w:val="FF0000"/>
          <w:sz w:val="28"/>
          <w:szCs w:val="28"/>
        </w:rPr>
        <w:t>)</w:t>
      </w:r>
      <w:r w:rsidRPr="0060395B">
        <w:rPr>
          <w:rFonts w:asciiTheme="minorHAnsi" w:hAnsiTheme="minorHAnsi" w:cstheme="minorHAnsi"/>
          <w:i/>
          <w:color w:val="FF0000"/>
          <w:w w:val="105"/>
          <w:sz w:val="28"/>
          <w:szCs w:val="28"/>
        </w:rPr>
        <w:t xml:space="preserve"> lists several transmission specific components to the project. </w:t>
      </w:r>
    </w:p>
    <w:p w:rsidR="00463C72" w:rsidRPr="00BE040C" w:rsidRDefault="00463C72" w:rsidP="00463C72">
      <w:pPr>
        <w:pStyle w:val="BodyText"/>
        <w:rPr>
          <w:rFonts w:asciiTheme="minorHAnsi" w:hAnsiTheme="minorHAnsi" w:cstheme="minorHAnsi"/>
          <w:color w:val="FF0000"/>
          <w:w w:val="105"/>
          <w:sz w:val="28"/>
          <w:szCs w:val="28"/>
        </w:rPr>
      </w:pPr>
    </w:p>
    <w:p w:rsidR="00463C72" w:rsidRPr="00BE040C" w:rsidRDefault="00463C72" w:rsidP="00BE040C">
      <w:pPr>
        <w:pStyle w:val="BodyText"/>
        <w:ind w:left="540" w:firstLine="180"/>
        <w:rPr>
          <w:rFonts w:asciiTheme="minorHAnsi" w:hAnsiTheme="minorHAnsi" w:cstheme="minorHAnsi"/>
          <w:color w:val="FF0000"/>
          <w:w w:val="105"/>
          <w:sz w:val="28"/>
          <w:szCs w:val="28"/>
        </w:rPr>
      </w:pPr>
      <w:r w:rsidRPr="00BE040C">
        <w:rPr>
          <w:rFonts w:asciiTheme="minorHAnsi" w:hAnsiTheme="minorHAnsi" w:cstheme="minorHAnsi"/>
          <w:color w:val="FF0000"/>
          <w:w w:val="105"/>
          <w:sz w:val="28"/>
          <w:szCs w:val="28"/>
        </w:rPr>
        <w:t>Including the following on page 54 of the license:</w:t>
      </w:r>
    </w:p>
    <w:p w:rsidR="00463C72" w:rsidRPr="00BE040C" w:rsidRDefault="00463C72" w:rsidP="00463C72">
      <w:pPr>
        <w:pStyle w:val="BodyText"/>
        <w:rPr>
          <w:rFonts w:asciiTheme="minorHAnsi" w:hAnsiTheme="minorHAnsi" w:cstheme="minorHAnsi"/>
          <w:color w:val="FF0000"/>
          <w:w w:val="105"/>
          <w:sz w:val="28"/>
          <w:szCs w:val="28"/>
        </w:rPr>
      </w:pPr>
    </w:p>
    <w:p w:rsidR="00463C72" w:rsidRPr="0060395B" w:rsidRDefault="00463C72" w:rsidP="00463C72">
      <w:pPr>
        <w:pStyle w:val="BodyText"/>
        <w:ind w:left="907"/>
        <w:rPr>
          <w:rFonts w:asciiTheme="minorHAnsi" w:hAnsiTheme="minorHAnsi" w:cstheme="minorHAnsi"/>
          <w:i/>
          <w:color w:val="FF0000"/>
          <w:w w:val="105"/>
          <w:sz w:val="28"/>
          <w:szCs w:val="28"/>
        </w:rPr>
      </w:pPr>
      <w:r w:rsidRPr="0060395B">
        <w:rPr>
          <w:rFonts w:asciiTheme="minorHAnsi" w:hAnsiTheme="minorHAnsi" w:cstheme="minorHAnsi"/>
          <w:i/>
          <w:color w:val="FF0000"/>
          <w:w w:val="105"/>
          <w:sz w:val="28"/>
          <w:szCs w:val="28"/>
        </w:rPr>
        <w:t xml:space="preserve">The project’s six primary transmission lines (three at the </w:t>
      </w:r>
      <w:proofErr w:type="spellStart"/>
      <w:r w:rsidRPr="0060395B">
        <w:rPr>
          <w:rFonts w:asciiTheme="minorHAnsi" w:hAnsiTheme="minorHAnsi" w:cstheme="minorHAnsi"/>
          <w:i/>
          <w:color w:val="FF0000"/>
          <w:w w:val="105"/>
          <w:sz w:val="28"/>
          <w:szCs w:val="28"/>
        </w:rPr>
        <w:t>Wanapum</w:t>
      </w:r>
      <w:proofErr w:type="spellEnd"/>
      <w:r w:rsidRPr="0060395B">
        <w:rPr>
          <w:rFonts w:asciiTheme="minorHAnsi" w:hAnsiTheme="minorHAnsi" w:cstheme="minorHAnsi"/>
          <w:i/>
          <w:color w:val="FF0000"/>
          <w:w w:val="105"/>
          <w:sz w:val="28"/>
          <w:szCs w:val="28"/>
        </w:rPr>
        <w:t xml:space="preserve"> development and three at Priest Rapids development), totaling 56.5 miles, deliver project power to the transmission grid via the BPA’s Columbia and Midway substations. Grant PUD is proposing no changes that would affect its own or other transmission services in the region. The project and its transmission lines are important elements in providing power and voltage control to local Grant County, Washington, communities and the region.</w:t>
      </w:r>
    </w:p>
    <w:p w:rsidR="00BE040C" w:rsidRPr="00BE040C" w:rsidRDefault="00BE040C" w:rsidP="00BE040C">
      <w:pPr>
        <w:pStyle w:val="BodyText"/>
        <w:rPr>
          <w:rFonts w:asciiTheme="minorHAnsi" w:hAnsiTheme="minorHAnsi" w:cstheme="minorHAnsi"/>
          <w:color w:val="FF0000"/>
          <w:w w:val="105"/>
          <w:sz w:val="28"/>
          <w:szCs w:val="28"/>
        </w:rPr>
      </w:pPr>
    </w:p>
    <w:p w:rsidR="00463C72" w:rsidRPr="00BE040C" w:rsidRDefault="00463C72" w:rsidP="00BE040C">
      <w:pPr>
        <w:pStyle w:val="BodyText"/>
        <w:ind w:firstLine="720"/>
        <w:rPr>
          <w:rFonts w:asciiTheme="minorHAnsi" w:hAnsiTheme="minorHAnsi" w:cstheme="minorHAnsi"/>
          <w:color w:val="FF0000"/>
          <w:w w:val="105"/>
          <w:sz w:val="28"/>
          <w:szCs w:val="28"/>
        </w:rPr>
      </w:pPr>
      <w:r w:rsidRPr="00BE040C">
        <w:rPr>
          <w:rFonts w:asciiTheme="minorHAnsi" w:hAnsiTheme="minorHAnsi" w:cstheme="minorHAnsi"/>
          <w:color w:val="FF0000"/>
          <w:w w:val="105"/>
          <w:sz w:val="28"/>
          <w:szCs w:val="28"/>
        </w:rPr>
        <w:t>And including the following located on page 59 license:</w:t>
      </w:r>
    </w:p>
    <w:p w:rsidR="00463C72" w:rsidRPr="00BE040C" w:rsidRDefault="00463C72" w:rsidP="00463C72">
      <w:pPr>
        <w:pStyle w:val="BodyText"/>
        <w:rPr>
          <w:rFonts w:asciiTheme="minorHAnsi" w:hAnsiTheme="minorHAnsi" w:cstheme="minorHAnsi"/>
          <w:color w:val="FF0000"/>
          <w:w w:val="105"/>
          <w:sz w:val="28"/>
          <w:szCs w:val="28"/>
        </w:rPr>
      </w:pPr>
    </w:p>
    <w:p w:rsidR="00463C72" w:rsidRPr="0060395B" w:rsidRDefault="00463C72" w:rsidP="00463C72">
      <w:pPr>
        <w:pStyle w:val="BodyText"/>
        <w:ind w:left="900"/>
        <w:rPr>
          <w:rFonts w:asciiTheme="minorHAnsi" w:hAnsiTheme="minorHAnsi" w:cstheme="minorHAnsi"/>
          <w:i/>
          <w:color w:val="FF0000"/>
          <w:w w:val="105"/>
          <w:sz w:val="28"/>
          <w:szCs w:val="28"/>
        </w:rPr>
      </w:pPr>
      <w:r w:rsidRPr="0060395B">
        <w:rPr>
          <w:rFonts w:asciiTheme="minorHAnsi" w:hAnsiTheme="minorHAnsi"/>
          <w:i/>
          <w:color w:val="FF0000"/>
          <w:sz w:val="28"/>
          <w:szCs w:val="28"/>
        </w:rPr>
        <w:t xml:space="preserve">(e) three 230-kilovolt (kV) overhead transmission lines with: (i) the first transmission line connecting and terminating at 2 adjacent switchyards 1.5 miles away; (ii) the second running from one of the two switchyards north for 31 miles to the BPA’s Columbia substation; and (iii) the third connecting the </w:t>
      </w:r>
      <w:proofErr w:type="spellStart"/>
      <w:r w:rsidRPr="0060395B">
        <w:rPr>
          <w:rFonts w:asciiTheme="minorHAnsi" w:hAnsiTheme="minorHAnsi"/>
          <w:i/>
          <w:color w:val="FF0000"/>
          <w:sz w:val="28"/>
          <w:szCs w:val="28"/>
        </w:rPr>
        <w:t>Wanapum</w:t>
      </w:r>
      <w:proofErr w:type="spellEnd"/>
      <w:r w:rsidRPr="0060395B">
        <w:rPr>
          <w:rFonts w:asciiTheme="minorHAnsi" w:hAnsiTheme="minorHAnsi"/>
          <w:i/>
          <w:color w:val="FF0000"/>
          <w:sz w:val="28"/>
          <w:szCs w:val="28"/>
        </w:rPr>
        <w:t xml:space="preserve"> substation with the Priest Rapids substation running south for 17 miles; and (f) appurtenant facilities.</w:t>
      </w:r>
      <w:r w:rsidRPr="0060395B">
        <w:rPr>
          <w:rFonts w:asciiTheme="minorHAnsi" w:hAnsiTheme="minorHAnsi" w:cstheme="minorHAnsi"/>
          <w:i/>
          <w:color w:val="FF0000"/>
          <w:w w:val="105"/>
          <w:sz w:val="28"/>
          <w:szCs w:val="28"/>
        </w:rPr>
        <w:t xml:space="preserve"> </w:t>
      </w:r>
    </w:p>
    <w:p w:rsidR="00463C72" w:rsidRPr="0060395B" w:rsidRDefault="00463C72" w:rsidP="00463C72">
      <w:pPr>
        <w:pStyle w:val="BodyText"/>
        <w:ind w:left="540"/>
        <w:rPr>
          <w:rFonts w:asciiTheme="minorHAnsi" w:hAnsiTheme="minorHAnsi" w:cstheme="minorHAnsi"/>
          <w:i/>
          <w:color w:val="FF0000"/>
          <w:w w:val="105"/>
          <w:sz w:val="28"/>
          <w:szCs w:val="28"/>
        </w:rPr>
      </w:pPr>
    </w:p>
    <w:p w:rsidR="00463C72" w:rsidRPr="0060395B" w:rsidRDefault="00463C72" w:rsidP="00463C72">
      <w:pPr>
        <w:pStyle w:val="BodyText"/>
        <w:ind w:left="900"/>
        <w:rPr>
          <w:rFonts w:asciiTheme="minorHAnsi" w:hAnsiTheme="minorHAnsi" w:cstheme="minorHAnsi"/>
          <w:i/>
          <w:color w:val="FF0000"/>
          <w:w w:val="105"/>
          <w:sz w:val="28"/>
          <w:szCs w:val="28"/>
        </w:rPr>
      </w:pPr>
      <w:r w:rsidRPr="0060395B">
        <w:rPr>
          <w:rFonts w:asciiTheme="minorHAnsi" w:hAnsiTheme="minorHAnsi" w:cstheme="minorHAnsi"/>
          <w:i/>
          <w:color w:val="FF0000"/>
          <w:w w:val="105"/>
          <w:sz w:val="28"/>
          <w:szCs w:val="28"/>
        </w:rPr>
        <w:t>(f) three 230-kV transmission lines from the transformers at the powerhouse to the Priest Rapids switchyard 1 mile away, then continuing for 6 miles to the BPA’s Midway substation;</w:t>
      </w:r>
    </w:p>
    <w:p w:rsidR="00667A92" w:rsidRPr="00BE040C" w:rsidRDefault="00667A92" w:rsidP="004927AA">
      <w:pPr>
        <w:spacing w:line="240" w:lineRule="auto"/>
        <w:rPr>
          <w:rFonts w:asciiTheme="minorHAnsi" w:eastAsia="Times New Roman" w:hAnsiTheme="minorHAnsi" w:cstheme="minorHAnsi"/>
          <w:color w:val="FF0000"/>
          <w:sz w:val="28"/>
          <w:szCs w:val="28"/>
        </w:rPr>
      </w:pPr>
    </w:p>
    <w:p w:rsidR="00BE040C" w:rsidRPr="00BE040C" w:rsidRDefault="00BE040C" w:rsidP="00BE040C">
      <w:pPr>
        <w:spacing w:line="240" w:lineRule="auto"/>
        <w:ind w:left="720"/>
        <w:rPr>
          <w:rFonts w:asciiTheme="minorHAnsi" w:eastAsia="Times New Roman" w:hAnsiTheme="minorHAnsi" w:cstheme="minorHAnsi"/>
          <w:color w:val="FF0000"/>
          <w:sz w:val="28"/>
          <w:szCs w:val="28"/>
        </w:rPr>
      </w:pPr>
      <w:r w:rsidRPr="00BE040C">
        <w:rPr>
          <w:rFonts w:asciiTheme="minorHAnsi" w:eastAsia="Times New Roman" w:hAnsiTheme="minorHAnsi" w:cstheme="minorHAnsi"/>
          <w:color w:val="FF0000"/>
          <w:sz w:val="28"/>
          <w:szCs w:val="28"/>
        </w:rPr>
        <w:t>For Quincy Chute (“</w:t>
      </w:r>
      <w:r w:rsidR="00AA048C">
        <w:rPr>
          <w:rFonts w:asciiTheme="minorHAnsi" w:eastAsia="Times New Roman" w:hAnsiTheme="minorHAnsi" w:cstheme="minorHAnsi"/>
          <w:color w:val="FF0000"/>
          <w:sz w:val="28"/>
          <w:szCs w:val="28"/>
        </w:rPr>
        <w:t>Q</w:t>
      </w:r>
      <w:r w:rsidRPr="00BE040C">
        <w:rPr>
          <w:rFonts w:asciiTheme="minorHAnsi" w:eastAsia="Times New Roman" w:hAnsiTheme="minorHAnsi" w:cstheme="minorHAnsi"/>
          <w:color w:val="FF0000"/>
          <w:sz w:val="28"/>
          <w:szCs w:val="28"/>
        </w:rPr>
        <w:t xml:space="preserve">C”) and Potholes East Canal (“PEC”), Grant PUD previously provided </w:t>
      </w:r>
      <w:r w:rsidR="00836D64">
        <w:rPr>
          <w:rFonts w:asciiTheme="minorHAnsi" w:eastAsia="Times New Roman" w:hAnsiTheme="minorHAnsi" w:cstheme="minorHAnsi"/>
          <w:color w:val="FF0000"/>
          <w:sz w:val="28"/>
          <w:szCs w:val="28"/>
        </w:rPr>
        <w:t>its</w:t>
      </w:r>
      <w:r w:rsidRPr="00BE040C">
        <w:rPr>
          <w:rFonts w:asciiTheme="minorHAnsi" w:eastAsia="Times New Roman" w:hAnsiTheme="minorHAnsi" w:cstheme="minorHAnsi"/>
          <w:color w:val="FF0000"/>
          <w:sz w:val="28"/>
          <w:szCs w:val="28"/>
        </w:rPr>
        <w:t xml:space="preserve"> response to </w:t>
      </w:r>
      <w:r w:rsidR="00836D64">
        <w:rPr>
          <w:rFonts w:asciiTheme="minorHAnsi" w:eastAsia="Times New Roman" w:hAnsiTheme="minorHAnsi" w:cstheme="minorHAnsi"/>
          <w:color w:val="FF0000"/>
          <w:sz w:val="28"/>
          <w:szCs w:val="28"/>
        </w:rPr>
        <w:t xml:space="preserve">USBR’s </w:t>
      </w:r>
      <w:r w:rsidRPr="00BE040C">
        <w:rPr>
          <w:rFonts w:asciiTheme="minorHAnsi" w:eastAsia="Times New Roman" w:hAnsiTheme="minorHAnsi" w:cstheme="minorHAnsi"/>
          <w:color w:val="FF0000"/>
          <w:sz w:val="28"/>
          <w:szCs w:val="28"/>
        </w:rPr>
        <w:t>Question No. 9</w:t>
      </w:r>
      <w:r w:rsidR="00836D64">
        <w:rPr>
          <w:rFonts w:asciiTheme="minorHAnsi" w:eastAsia="Times New Roman" w:hAnsiTheme="minorHAnsi" w:cstheme="minorHAnsi"/>
          <w:color w:val="FF0000"/>
          <w:sz w:val="28"/>
          <w:szCs w:val="28"/>
        </w:rPr>
        <w:t xml:space="preserve"> (see</w:t>
      </w:r>
      <w:r w:rsidR="007F34D1">
        <w:rPr>
          <w:rFonts w:asciiTheme="minorHAnsi" w:eastAsia="Times New Roman" w:hAnsiTheme="minorHAnsi" w:cstheme="minorHAnsi"/>
          <w:color w:val="FF0000"/>
          <w:sz w:val="28"/>
          <w:szCs w:val="28"/>
        </w:rPr>
        <w:t xml:space="preserve"> </w:t>
      </w:r>
      <w:r w:rsidRPr="00BE040C">
        <w:rPr>
          <w:rFonts w:asciiTheme="minorHAnsi" w:eastAsia="Times New Roman" w:hAnsiTheme="minorHAnsi" w:cstheme="minorHAnsi"/>
          <w:color w:val="FF0000"/>
          <w:sz w:val="28"/>
          <w:szCs w:val="28"/>
        </w:rPr>
        <w:t xml:space="preserve">Reply to </w:t>
      </w:r>
      <w:r w:rsidR="007F34D1">
        <w:rPr>
          <w:rFonts w:asciiTheme="minorHAnsi" w:eastAsia="Times New Roman" w:hAnsiTheme="minorHAnsi" w:cstheme="minorHAnsi"/>
          <w:color w:val="FF0000"/>
          <w:sz w:val="28"/>
          <w:szCs w:val="28"/>
        </w:rPr>
        <w:t>USBR</w:t>
      </w:r>
      <w:r w:rsidR="00836D64">
        <w:rPr>
          <w:rFonts w:asciiTheme="minorHAnsi" w:eastAsia="Times New Roman" w:hAnsiTheme="minorHAnsi" w:cstheme="minorHAnsi"/>
          <w:color w:val="FF0000"/>
          <w:sz w:val="28"/>
          <w:szCs w:val="28"/>
        </w:rPr>
        <w:t xml:space="preserve">’s </w:t>
      </w:r>
      <w:r w:rsidRPr="00BE040C">
        <w:rPr>
          <w:rFonts w:asciiTheme="minorHAnsi" w:eastAsia="Times New Roman" w:hAnsiTheme="minorHAnsi" w:cstheme="minorHAnsi"/>
          <w:color w:val="FF0000"/>
          <w:sz w:val="28"/>
          <w:szCs w:val="28"/>
        </w:rPr>
        <w:t>July 10 Comments</w:t>
      </w:r>
      <w:r w:rsidR="00836D64">
        <w:rPr>
          <w:rFonts w:asciiTheme="minorHAnsi" w:eastAsia="Times New Roman" w:hAnsiTheme="minorHAnsi" w:cstheme="minorHAnsi"/>
          <w:color w:val="FF0000"/>
          <w:sz w:val="28"/>
          <w:szCs w:val="28"/>
        </w:rPr>
        <w:t>)</w:t>
      </w:r>
      <w:r w:rsidRPr="00BE040C">
        <w:rPr>
          <w:rFonts w:asciiTheme="minorHAnsi" w:eastAsia="Times New Roman" w:hAnsiTheme="minorHAnsi" w:cstheme="minorHAnsi"/>
          <w:color w:val="FF0000"/>
          <w:sz w:val="28"/>
          <w:szCs w:val="28"/>
        </w:rPr>
        <w:t>:</w:t>
      </w:r>
    </w:p>
    <w:p w:rsidR="004927AA" w:rsidRPr="00BE040C" w:rsidRDefault="004927AA" w:rsidP="004927AA">
      <w:pPr>
        <w:spacing w:line="240" w:lineRule="auto"/>
        <w:rPr>
          <w:rFonts w:asciiTheme="minorHAnsi" w:eastAsia="Times New Roman" w:hAnsiTheme="minorHAnsi" w:cstheme="minorHAnsi"/>
          <w:color w:val="FF0000"/>
          <w:sz w:val="28"/>
          <w:szCs w:val="28"/>
        </w:rPr>
      </w:pPr>
    </w:p>
    <w:p w:rsidR="00836D64" w:rsidRPr="00836D64" w:rsidRDefault="006D5483" w:rsidP="00836D64">
      <w:pPr>
        <w:spacing w:line="240" w:lineRule="auto"/>
        <w:ind w:left="1440"/>
        <w:rPr>
          <w:rFonts w:asciiTheme="minorHAnsi" w:hAnsiTheme="minorHAnsi" w:cstheme="minorHAnsi"/>
          <w:i/>
          <w:color w:val="FF0000"/>
          <w:sz w:val="28"/>
          <w:szCs w:val="28"/>
        </w:rPr>
      </w:pPr>
      <w:r>
        <w:rPr>
          <w:rFonts w:asciiTheme="minorHAnsi" w:hAnsiTheme="minorHAnsi" w:cstheme="minorHAnsi"/>
          <w:i/>
          <w:color w:val="FF0000"/>
          <w:sz w:val="28"/>
          <w:szCs w:val="28"/>
        </w:rPr>
        <w:t>“</w:t>
      </w:r>
      <w:r w:rsidR="00836D64" w:rsidRPr="00836D64">
        <w:rPr>
          <w:rFonts w:asciiTheme="minorHAnsi" w:hAnsiTheme="minorHAnsi" w:cstheme="minorHAnsi"/>
          <w:i/>
          <w:color w:val="FF0000"/>
          <w:sz w:val="28"/>
          <w:szCs w:val="28"/>
        </w:rPr>
        <w:t>…If the expenses are related to the PUD’s transmission system, then   they should be included as transmission related.</w:t>
      </w:r>
      <w:r>
        <w:rPr>
          <w:rFonts w:asciiTheme="minorHAnsi" w:hAnsiTheme="minorHAnsi" w:cstheme="minorHAnsi"/>
          <w:i/>
          <w:color w:val="FF0000"/>
          <w:sz w:val="28"/>
          <w:szCs w:val="28"/>
        </w:rPr>
        <w:t>”</w:t>
      </w:r>
    </w:p>
    <w:p w:rsidR="00836D64" w:rsidRPr="00836D64" w:rsidRDefault="00836D64" w:rsidP="00836D64">
      <w:pPr>
        <w:spacing w:line="240" w:lineRule="auto"/>
        <w:rPr>
          <w:rFonts w:asciiTheme="minorHAnsi" w:hAnsiTheme="minorHAnsi" w:cstheme="minorHAnsi"/>
          <w:color w:val="FF0000"/>
          <w:sz w:val="28"/>
          <w:szCs w:val="28"/>
        </w:rPr>
      </w:pPr>
    </w:p>
    <w:p w:rsidR="006D5483" w:rsidRDefault="006D5483" w:rsidP="006D5483">
      <w:pPr>
        <w:spacing w:line="240" w:lineRule="auto"/>
        <w:ind w:left="720"/>
        <w:rPr>
          <w:rFonts w:asciiTheme="minorHAnsi" w:eastAsia="TimesNewRomanPSMT" w:hAnsiTheme="minorHAnsi" w:cstheme="minorHAnsi"/>
          <w:color w:val="FF0000"/>
          <w:sz w:val="28"/>
          <w:szCs w:val="28"/>
        </w:rPr>
      </w:pPr>
      <w:r>
        <w:rPr>
          <w:rFonts w:asciiTheme="minorHAnsi" w:eastAsia="Times New Roman" w:hAnsiTheme="minorHAnsi" w:cstheme="minorHAnsi"/>
          <w:color w:val="FF0000"/>
          <w:sz w:val="28"/>
          <w:szCs w:val="28"/>
        </w:rPr>
        <w:t>Also supporting Grant PUD’s position is its re</w:t>
      </w:r>
      <w:r>
        <w:rPr>
          <w:rFonts w:asciiTheme="minorHAnsi" w:eastAsia="TimesNewRomanPSMT" w:hAnsiTheme="minorHAnsi" w:cstheme="minorHAnsi"/>
          <w:color w:val="FF0000"/>
          <w:sz w:val="28"/>
          <w:szCs w:val="28"/>
        </w:rPr>
        <w:t xml:space="preserve">sponse to USBR’s August 27, 2019 Question No. 10, which is stated </w:t>
      </w:r>
      <w:r w:rsidR="00147387">
        <w:rPr>
          <w:rFonts w:asciiTheme="minorHAnsi" w:eastAsia="TimesNewRomanPSMT" w:hAnsiTheme="minorHAnsi" w:cstheme="minorHAnsi"/>
          <w:color w:val="FF0000"/>
          <w:sz w:val="28"/>
          <w:szCs w:val="28"/>
        </w:rPr>
        <w:t xml:space="preserve">above </w:t>
      </w:r>
      <w:r>
        <w:rPr>
          <w:rFonts w:asciiTheme="minorHAnsi" w:eastAsia="TimesNewRomanPSMT" w:hAnsiTheme="minorHAnsi" w:cstheme="minorHAnsi"/>
          <w:color w:val="FF0000"/>
          <w:sz w:val="28"/>
          <w:szCs w:val="28"/>
        </w:rPr>
        <w:t>in Question 2.</w:t>
      </w:r>
    </w:p>
    <w:p w:rsidR="00836D64" w:rsidRPr="00836D64" w:rsidRDefault="00836D64" w:rsidP="00836D64">
      <w:pPr>
        <w:spacing w:line="240" w:lineRule="auto"/>
        <w:ind w:left="720"/>
        <w:rPr>
          <w:rFonts w:asciiTheme="minorHAnsi" w:hAnsiTheme="minorHAnsi" w:cstheme="minorHAnsi"/>
          <w:color w:val="FF0000"/>
          <w:sz w:val="28"/>
          <w:szCs w:val="28"/>
        </w:rPr>
      </w:pPr>
    </w:p>
    <w:p w:rsidR="007F34D1" w:rsidRDefault="007F34D1" w:rsidP="004927AA">
      <w:pPr>
        <w:spacing w:line="240" w:lineRule="auto"/>
        <w:rPr>
          <w:rFonts w:asciiTheme="minorHAnsi" w:eastAsia="Times New Roman" w:hAnsiTheme="minorHAnsi" w:cstheme="minorHAnsi"/>
          <w:b/>
          <w:sz w:val="28"/>
          <w:szCs w:val="28"/>
          <w:u w:val="single"/>
        </w:rPr>
      </w:pPr>
    </w:p>
    <w:p w:rsidR="007F34D1" w:rsidRDefault="007F34D1" w:rsidP="004927AA">
      <w:pPr>
        <w:spacing w:line="240" w:lineRule="auto"/>
        <w:rPr>
          <w:rFonts w:asciiTheme="minorHAnsi" w:eastAsia="Times New Roman" w:hAnsiTheme="minorHAnsi" w:cstheme="minorHAnsi"/>
          <w:b/>
          <w:sz w:val="28"/>
          <w:szCs w:val="28"/>
          <w:u w:val="single"/>
        </w:rPr>
      </w:pPr>
    </w:p>
    <w:p w:rsidR="004927AA" w:rsidRPr="004927AA" w:rsidRDefault="004927AA" w:rsidP="004927AA">
      <w:pPr>
        <w:spacing w:line="240" w:lineRule="auto"/>
        <w:rPr>
          <w:rFonts w:asciiTheme="minorHAnsi" w:eastAsia="Times New Roman" w:hAnsiTheme="minorHAnsi" w:cstheme="minorHAnsi"/>
          <w:sz w:val="28"/>
          <w:szCs w:val="28"/>
        </w:rPr>
      </w:pPr>
      <w:r w:rsidRPr="004927AA">
        <w:rPr>
          <w:rFonts w:asciiTheme="minorHAnsi" w:eastAsia="Times New Roman" w:hAnsiTheme="minorHAnsi" w:cstheme="minorHAnsi"/>
          <w:b/>
          <w:sz w:val="28"/>
          <w:szCs w:val="28"/>
          <w:u w:val="single"/>
        </w:rPr>
        <w:t xml:space="preserve">Question No. 4 - </w:t>
      </w:r>
      <w:r w:rsidRPr="004927AA">
        <w:rPr>
          <w:rFonts w:asciiTheme="minorHAnsi" w:eastAsia="Times New Roman" w:hAnsiTheme="minorHAnsi" w:cstheme="minorHAnsi"/>
          <w:sz w:val="28"/>
          <w:szCs w:val="28"/>
        </w:rPr>
        <w:t>From Exhibit III – O&amp;M Expenses, please clarify what is included in Line item 561 and 581 and explain why there is a huge difference in values between these line items.</w:t>
      </w:r>
    </w:p>
    <w:p w:rsidR="004927AA" w:rsidRDefault="004927AA" w:rsidP="004927AA">
      <w:pPr>
        <w:spacing w:line="240" w:lineRule="auto"/>
        <w:rPr>
          <w:rFonts w:asciiTheme="minorHAnsi" w:hAnsiTheme="minorHAnsi" w:cstheme="minorHAnsi"/>
          <w:sz w:val="28"/>
          <w:szCs w:val="28"/>
        </w:rPr>
      </w:pPr>
    </w:p>
    <w:p w:rsidR="00713406" w:rsidRPr="00713406" w:rsidRDefault="00713406" w:rsidP="00713406">
      <w:pPr>
        <w:spacing w:line="240" w:lineRule="auto"/>
        <w:ind w:left="720"/>
        <w:rPr>
          <w:rFonts w:asciiTheme="minorHAnsi" w:hAnsiTheme="minorHAnsi" w:cstheme="minorHAnsi"/>
          <w:color w:val="C00000"/>
          <w:sz w:val="28"/>
          <w:szCs w:val="28"/>
        </w:rPr>
      </w:pPr>
      <w:r w:rsidRPr="00713406">
        <w:rPr>
          <w:rFonts w:asciiTheme="minorHAnsi" w:hAnsiTheme="minorHAnsi" w:cstheme="minorHAnsi"/>
          <w:color w:val="C00000"/>
          <w:sz w:val="28"/>
          <w:szCs w:val="28"/>
        </w:rPr>
        <w:t xml:space="preserve">For accounting purposes, Grant PUD’s utilizes the Federal Energy Regulatory Commission’s (“FERC”) </w:t>
      </w:r>
      <w:r w:rsidR="007A196D">
        <w:rPr>
          <w:rFonts w:asciiTheme="minorHAnsi" w:hAnsiTheme="minorHAnsi" w:cstheme="minorHAnsi"/>
          <w:color w:val="C00000"/>
          <w:sz w:val="28"/>
          <w:szCs w:val="28"/>
        </w:rPr>
        <w:t>Uniform System</w:t>
      </w:r>
      <w:r w:rsidRPr="00713406">
        <w:rPr>
          <w:rFonts w:asciiTheme="minorHAnsi" w:hAnsiTheme="minorHAnsi" w:cstheme="minorHAnsi"/>
          <w:color w:val="C00000"/>
          <w:sz w:val="28"/>
          <w:szCs w:val="28"/>
        </w:rPr>
        <w:t xml:space="preserve"> of Accounts when recording its Operation and Maintenance Expenses (“O&amp;M”) for labor and all other O&amp;M expenses.</w:t>
      </w:r>
    </w:p>
    <w:p w:rsidR="00713406" w:rsidRPr="00713406" w:rsidRDefault="00713406" w:rsidP="004927AA">
      <w:pPr>
        <w:spacing w:line="240" w:lineRule="auto"/>
        <w:rPr>
          <w:rFonts w:asciiTheme="minorHAnsi" w:hAnsiTheme="minorHAnsi" w:cstheme="minorHAnsi"/>
          <w:color w:val="C00000"/>
          <w:sz w:val="28"/>
          <w:szCs w:val="28"/>
        </w:rPr>
      </w:pPr>
    </w:p>
    <w:p w:rsidR="003B79DF" w:rsidRDefault="003B79DF" w:rsidP="00767B56">
      <w:pPr>
        <w:spacing w:line="240" w:lineRule="auto"/>
        <w:ind w:left="720"/>
        <w:rPr>
          <w:rFonts w:asciiTheme="minorHAnsi" w:hAnsiTheme="minorHAnsi" w:cstheme="minorHAnsi"/>
          <w:color w:val="FF0000"/>
          <w:sz w:val="28"/>
          <w:szCs w:val="28"/>
        </w:rPr>
      </w:pPr>
      <w:r>
        <w:rPr>
          <w:rFonts w:asciiTheme="minorHAnsi" w:hAnsiTheme="minorHAnsi" w:cstheme="minorHAnsi"/>
          <w:color w:val="FF0000"/>
          <w:sz w:val="28"/>
          <w:szCs w:val="28"/>
        </w:rPr>
        <w:t xml:space="preserve">The FERC Uniform System of Accounts for </w:t>
      </w:r>
      <w:r w:rsidRPr="00767B56">
        <w:rPr>
          <w:rFonts w:asciiTheme="minorHAnsi" w:hAnsiTheme="minorHAnsi" w:cstheme="minorHAnsi"/>
          <w:color w:val="FF0000"/>
          <w:sz w:val="28"/>
          <w:szCs w:val="28"/>
          <w:u w:val="single"/>
        </w:rPr>
        <w:t>Account #561</w:t>
      </w:r>
      <w:r w:rsidR="00DA2C97">
        <w:rPr>
          <w:rFonts w:asciiTheme="minorHAnsi" w:hAnsiTheme="minorHAnsi" w:cstheme="minorHAnsi"/>
          <w:color w:val="FF0000"/>
          <w:sz w:val="28"/>
          <w:szCs w:val="28"/>
        </w:rPr>
        <w:t>-Transmission Load Dispatching</w:t>
      </w:r>
      <w:r>
        <w:rPr>
          <w:rFonts w:asciiTheme="minorHAnsi" w:hAnsiTheme="minorHAnsi" w:cstheme="minorHAnsi"/>
          <w:color w:val="FF0000"/>
          <w:sz w:val="28"/>
          <w:szCs w:val="28"/>
        </w:rPr>
        <w:t xml:space="preserve"> states:</w:t>
      </w:r>
    </w:p>
    <w:p w:rsidR="003B79DF" w:rsidRPr="00767B56" w:rsidRDefault="003B79DF" w:rsidP="003B79DF">
      <w:pPr>
        <w:rPr>
          <w:rFonts w:asciiTheme="minorHAnsi" w:hAnsiTheme="minorHAnsi" w:cstheme="minorHAnsi"/>
          <w:color w:val="C00000"/>
          <w:sz w:val="28"/>
          <w:szCs w:val="28"/>
        </w:rPr>
      </w:pPr>
    </w:p>
    <w:p w:rsidR="003B79DF" w:rsidRPr="00767B56" w:rsidRDefault="003B79DF" w:rsidP="00BA4EFD">
      <w:pPr>
        <w:pStyle w:val="NoSpacing"/>
        <w:ind w:firstLine="720"/>
        <w:rPr>
          <w:rFonts w:asciiTheme="minorHAnsi" w:hAnsiTheme="minorHAnsi" w:cstheme="minorHAnsi"/>
          <w:b/>
          <w:color w:val="C00000"/>
          <w:sz w:val="28"/>
          <w:szCs w:val="28"/>
          <w:lang w:val="en-US"/>
        </w:rPr>
      </w:pPr>
      <w:r w:rsidRPr="00767B56">
        <w:rPr>
          <w:rFonts w:asciiTheme="minorHAnsi" w:hAnsiTheme="minorHAnsi" w:cstheme="minorHAnsi"/>
          <w:b/>
          <w:color w:val="C00000"/>
          <w:sz w:val="28"/>
          <w:szCs w:val="28"/>
          <w:lang w:val="en-US"/>
        </w:rPr>
        <w:t>561.1 Load Dispatch—Reliability.</w:t>
      </w:r>
    </w:p>
    <w:p w:rsidR="003B79DF" w:rsidRPr="00767B56" w:rsidRDefault="003B79DF" w:rsidP="00BA4EFD">
      <w:pPr>
        <w:pStyle w:val="NoSpacing"/>
        <w:ind w:left="144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 xml:space="preserve">This account shall include the cost of labor, materials </w:t>
      </w:r>
      <w:proofErr w:type="gramStart"/>
      <w:r w:rsidRPr="00767B56">
        <w:rPr>
          <w:rFonts w:asciiTheme="minorHAnsi" w:hAnsiTheme="minorHAnsi" w:cstheme="minorHAnsi"/>
          <w:color w:val="C00000"/>
          <w:sz w:val="28"/>
          <w:szCs w:val="28"/>
          <w:lang w:val="en-US"/>
        </w:rPr>
        <w:t>used</w:t>
      </w:r>
      <w:proofErr w:type="gramEnd"/>
      <w:r w:rsidRPr="00767B56">
        <w:rPr>
          <w:rFonts w:asciiTheme="minorHAnsi" w:hAnsiTheme="minorHAnsi" w:cstheme="minorHAnsi"/>
          <w:color w:val="C00000"/>
          <w:sz w:val="28"/>
          <w:szCs w:val="28"/>
          <w:lang w:val="en-US"/>
        </w:rPr>
        <w:t xml:space="preserve"> and expenses incurred by a regional transmission service provider or other transmission provider to manage the reliability coordination function as specified by the North American Electric Reliability Council (NERC) and individual reliability organizations. These activities shall include performing current and next day reliability analysis. This account shall include the costs incurred to calculate load </w:t>
      </w:r>
      <w:proofErr w:type="gramStart"/>
      <w:r w:rsidRPr="00767B56">
        <w:rPr>
          <w:rFonts w:asciiTheme="minorHAnsi" w:hAnsiTheme="minorHAnsi" w:cstheme="minorHAnsi"/>
          <w:color w:val="C00000"/>
          <w:sz w:val="28"/>
          <w:szCs w:val="28"/>
          <w:lang w:val="en-US"/>
        </w:rPr>
        <w:t>forecasts, and</w:t>
      </w:r>
      <w:proofErr w:type="gramEnd"/>
      <w:r w:rsidRPr="00767B56">
        <w:rPr>
          <w:rFonts w:asciiTheme="minorHAnsi" w:hAnsiTheme="minorHAnsi" w:cstheme="minorHAnsi"/>
          <w:color w:val="C00000"/>
          <w:sz w:val="28"/>
          <w:szCs w:val="28"/>
          <w:lang w:val="en-US"/>
        </w:rPr>
        <w:t xml:space="preserve"> performing contingency analysis.</w:t>
      </w:r>
    </w:p>
    <w:p w:rsidR="00BA4EFD" w:rsidRPr="00767B56" w:rsidRDefault="00BA4EFD" w:rsidP="00BA4EFD">
      <w:pPr>
        <w:pStyle w:val="NoSpacing"/>
        <w:ind w:left="1440"/>
        <w:rPr>
          <w:rFonts w:asciiTheme="minorHAnsi" w:hAnsiTheme="minorHAnsi" w:cstheme="minorHAnsi"/>
          <w:color w:val="C00000"/>
          <w:sz w:val="28"/>
          <w:szCs w:val="28"/>
          <w:lang w:val="en-US"/>
        </w:rPr>
      </w:pPr>
    </w:p>
    <w:p w:rsidR="003B79DF" w:rsidRPr="00767B56" w:rsidRDefault="003B79DF" w:rsidP="00BA4EFD">
      <w:pPr>
        <w:pStyle w:val="NoSpacing"/>
        <w:ind w:firstLine="720"/>
        <w:rPr>
          <w:rFonts w:asciiTheme="minorHAnsi" w:hAnsiTheme="minorHAnsi" w:cstheme="minorHAnsi"/>
          <w:b/>
          <w:color w:val="C00000"/>
          <w:sz w:val="28"/>
          <w:szCs w:val="28"/>
          <w:lang w:val="en-US"/>
        </w:rPr>
      </w:pPr>
      <w:r w:rsidRPr="00767B56">
        <w:rPr>
          <w:rFonts w:asciiTheme="minorHAnsi" w:hAnsiTheme="minorHAnsi" w:cstheme="minorHAnsi"/>
          <w:b/>
          <w:color w:val="C00000"/>
          <w:sz w:val="28"/>
          <w:szCs w:val="28"/>
          <w:lang w:val="en-US"/>
        </w:rPr>
        <w:t>561.2 Load Dispatch—Monitor and Operate Transmission System.</w:t>
      </w:r>
    </w:p>
    <w:p w:rsidR="003B79DF" w:rsidRPr="00767B56" w:rsidRDefault="003B79DF" w:rsidP="00BA4EFD">
      <w:pPr>
        <w:pStyle w:val="NoSpacing"/>
        <w:ind w:left="144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 xml:space="preserve">This account shall include the costs of labor, materials </w:t>
      </w:r>
      <w:proofErr w:type="gramStart"/>
      <w:r w:rsidRPr="00767B56">
        <w:rPr>
          <w:rFonts w:asciiTheme="minorHAnsi" w:hAnsiTheme="minorHAnsi" w:cstheme="minorHAnsi"/>
          <w:color w:val="C00000"/>
          <w:sz w:val="28"/>
          <w:szCs w:val="28"/>
          <w:lang w:val="en-US"/>
        </w:rPr>
        <w:t>used</w:t>
      </w:r>
      <w:proofErr w:type="gramEnd"/>
      <w:r w:rsidRPr="00767B56">
        <w:rPr>
          <w:rFonts w:asciiTheme="minorHAnsi" w:hAnsiTheme="minorHAnsi" w:cstheme="minorHAnsi"/>
          <w:color w:val="C00000"/>
          <w:sz w:val="28"/>
          <w:szCs w:val="28"/>
          <w:lang w:val="en-US"/>
        </w:rPr>
        <w:t xml:space="preserve"> and expenses incurred by a regional transmission service provider or other transmission provider to monitor, assess and operate the power system and individual transmission facilities in real-time to maintain safe and reliable operation of the transmission system. This account shall also include the expense incurred to manage transmission facilities to maintain system reliability and to monitor the real-time flows and direct actions according to regional plans and tariffs as necessary.</w:t>
      </w:r>
    </w:p>
    <w:p w:rsidR="003B79DF" w:rsidRPr="00767B56" w:rsidRDefault="003B79DF" w:rsidP="00BA4EFD">
      <w:pPr>
        <w:pStyle w:val="NoSpacing"/>
        <w:ind w:left="1440" w:firstLine="720"/>
        <w:rPr>
          <w:rFonts w:asciiTheme="minorHAnsi" w:hAnsiTheme="minorHAnsi" w:cstheme="minorHAnsi"/>
          <w:smallCaps/>
          <w:color w:val="C00000"/>
          <w:kern w:val="36"/>
          <w:sz w:val="28"/>
          <w:szCs w:val="28"/>
          <w:lang w:val="en-US"/>
        </w:rPr>
      </w:pPr>
      <w:r w:rsidRPr="00767B56">
        <w:rPr>
          <w:rFonts w:asciiTheme="minorHAnsi" w:hAnsiTheme="minorHAnsi" w:cstheme="minorHAnsi"/>
          <w:smallCaps/>
          <w:color w:val="C00000"/>
          <w:kern w:val="36"/>
          <w:sz w:val="28"/>
          <w:szCs w:val="28"/>
          <w:lang w:val="en-US"/>
        </w:rPr>
        <w:t>Items</w:t>
      </w:r>
    </w:p>
    <w:p w:rsidR="003B79DF" w:rsidRPr="00767B56" w:rsidRDefault="003B79DF" w:rsidP="00BA4EFD">
      <w:pPr>
        <w:pStyle w:val="NoSpacing"/>
        <w:ind w:left="2160" w:firstLine="72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1. Receive and analyze outage requests</w:t>
      </w:r>
    </w:p>
    <w:p w:rsidR="003B79DF" w:rsidRPr="00767B56" w:rsidRDefault="003B79DF" w:rsidP="00BA4EFD">
      <w:pPr>
        <w:pStyle w:val="NoSpacing"/>
        <w:ind w:left="2160" w:firstLine="72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lastRenderedPageBreak/>
        <w:t>2. Reschedule outage plans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3. Monitor solution quality field data values, providing model updates to NERC and coordinating network model changes across all systems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4. Conduct operating training related to NERC certification</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5. Monitor generation resources and communicate expected dispatch actions</w:t>
      </w:r>
    </w:p>
    <w:p w:rsidR="003B79DF" w:rsidRPr="00767B56" w:rsidRDefault="003B79DF" w:rsidP="00BA4EFD">
      <w:pPr>
        <w:pStyle w:val="NoSpacing"/>
        <w:ind w:left="2160" w:firstLine="72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6. Ensure ancillary service requirements are met</w:t>
      </w:r>
    </w:p>
    <w:p w:rsidR="003B79DF" w:rsidRPr="00767B56" w:rsidRDefault="003B79DF" w:rsidP="00BA4EFD">
      <w:pPr>
        <w:pStyle w:val="NoSpacing"/>
        <w:ind w:left="2160" w:firstLine="72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7. Directing switching</w:t>
      </w:r>
    </w:p>
    <w:p w:rsidR="003B79DF" w:rsidRPr="00767B56" w:rsidRDefault="003B79DF" w:rsidP="00BA4EFD">
      <w:pPr>
        <w:pStyle w:val="NoSpacing"/>
        <w:ind w:left="2160" w:firstLine="72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8. Controlling system voltages</w:t>
      </w:r>
    </w:p>
    <w:p w:rsidR="003B79DF" w:rsidRPr="00767B56" w:rsidRDefault="003B79DF" w:rsidP="00BA4EFD">
      <w:pPr>
        <w:pStyle w:val="NoSpacing"/>
        <w:ind w:left="2160" w:firstLine="72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9. Obtaining reports on the weather and special events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10. Preparing operating reports and data for billing and budget purposes</w:t>
      </w:r>
    </w:p>
    <w:p w:rsidR="00BA4EFD" w:rsidRPr="00767B56" w:rsidRDefault="00BA4EFD" w:rsidP="00BA4EFD">
      <w:pPr>
        <w:pStyle w:val="NoSpacing"/>
        <w:ind w:left="2880"/>
        <w:rPr>
          <w:rFonts w:asciiTheme="minorHAnsi" w:hAnsiTheme="minorHAnsi" w:cstheme="minorHAnsi"/>
          <w:color w:val="C00000"/>
          <w:sz w:val="28"/>
          <w:szCs w:val="28"/>
          <w:lang w:val="en-US"/>
        </w:rPr>
      </w:pPr>
    </w:p>
    <w:p w:rsidR="003B79DF" w:rsidRPr="00767B56" w:rsidRDefault="003B79DF" w:rsidP="00BA4EFD">
      <w:pPr>
        <w:pStyle w:val="NoSpacing"/>
        <w:ind w:firstLine="720"/>
        <w:rPr>
          <w:rFonts w:asciiTheme="minorHAnsi" w:hAnsiTheme="minorHAnsi" w:cstheme="minorHAnsi"/>
          <w:b/>
          <w:color w:val="C00000"/>
          <w:sz w:val="28"/>
          <w:szCs w:val="28"/>
          <w:lang w:val="en-US"/>
        </w:rPr>
      </w:pPr>
      <w:r w:rsidRPr="00767B56">
        <w:rPr>
          <w:rFonts w:asciiTheme="minorHAnsi" w:hAnsiTheme="minorHAnsi" w:cstheme="minorHAnsi"/>
          <w:b/>
          <w:color w:val="C00000"/>
          <w:sz w:val="28"/>
          <w:szCs w:val="28"/>
          <w:lang w:val="en-US"/>
        </w:rPr>
        <w:t>561.3 Load Dispatch—Transmission Service and Scheduling.</w:t>
      </w:r>
    </w:p>
    <w:p w:rsidR="003B79DF" w:rsidRPr="00767B56" w:rsidRDefault="003B79DF" w:rsidP="00BA4EFD">
      <w:pPr>
        <w:pStyle w:val="NoSpacing"/>
        <w:ind w:left="144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 xml:space="preserve">This account shall include the costs of labor, materials </w:t>
      </w:r>
      <w:proofErr w:type="gramStart"/>
      <w:r w:rsidRPr="00767B56">
        <w:rPr>
          <w:rFonts w:asciiTheme="minorHAnsi" w:hAnsiTheme="minorHAnsi" w:cstheme="minorHAnsi"/>
          <w:color w:val="C00000"/>
          <w:sz w:val="28"/>
          <w:szCs w:val="28"/>
          <w:lang w:val="en-US"/>
        </w:rPr>
        <w:t>used</w:t>
      </w:r>
      <w:proofErr w:type="gramEnd"/>
      <w:r w:rsidRPr="00767B56">
        <w:rPr>
          <w:rFonts w:asciiTheme="minorHAnsi" w:hAnsiTheme="minorHAnsi" w:cstheme="minorHAnsi"/>
          <w:color w:val="C00000"/>
          <w:sz w:val="28"/>
          <w:szCs w:val="28"/>
          <w:lang w:val="en-US"/>
        </w:rPr>
        <w:t xml:space="preserve"> and expenses incurred by a regional transmission service provider or other transmission provider to process hourly, daily, weekly and monthly transmission service requests using an automated system such as an Open Access Same-Time Information System (OASIS). It shall also include the expenses incurred to operate the automated transmission service request system and to monitor the status of all scheduled energy transactions.</w:t>
      </w:r>
    </w:p>
    <w:p w:rsidR="00BA4EFD" w:rsidRPr="00767B56" w:rsidRDefault="00BA4EFD" w:rsidP="00BA4EFD">
      <w:pPr>
        <w:pStyle w:val="NoSpacing"/>
        <w:ind w:left="1440"/>
        <w:rPr>
          <w:rFonts w:asciiTheme="minorHAnsi" w:hAnsiTheme="minorHAnsi" w:cstheme="minorHAnsi"/>
          <w:color w:val="C00000"/>
          <w:sz w:val="28"/>
          <w:szCs w:val="28"/>
          <w:lang w:val="en-US"/>
        </w:rPr>
      </w:pPr>
    </w:p>
    <w:p w:rsidR="003B79DF" w:rsidRPr="00767B56" w:rsidRDefault="003B79DF" w:rsidP="00BA4EFD">
      <w:pPr>
        <w:pStyle w:val="NoSpacing"/>
        <w:ind w:firstLine="720"/>
        <w:rPr>
          <w:rFonts w:asciiTheme="minorHAnsi" w:hAnsiTheme="minorHAnsi" w:cstheme="minorHAnsi"/>
          <w:b/>
          <w:color w:val="C00000"/>
          <w:sz w:val="28"/>
          <w:szCs w:val="28"/>
          <w:lang w:val="en-US"/>
        </w:rPr>
      </w:pPr>
      <w:r w:rsidRPr="00767B56">
        <w:rPr>
          <w:rFonts w:asciiTheme="minorHAnsi" w:hAnsiTheme="minorHAnsi" w:cstheme="minorHAnsi"/>
          <w:b/>
          <w:color w:val="C00000"/>
          <w:sz w:val="28"/>
          <w:szCs w:val="28"/>
          <w:lang w:val="en-US"/>
        </w:rPr>
        <w:t>561.4 Scheduling, System Control and Dispatching Services.</w:t>
      </w:r>
    </w:p>
    <w:p w:rsidR="003B79DF" w:rsidRPr="00767B56" w:rsidRDefault="003B79DF" w:rsidP="00BA4EFD">
      <w:pPr>
        <w:pStyle w:val="NoSpacing"/>
        <w:ind w:left="144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This account shall include the costs billed to the transmission owner, load serving entity or generator for scheduling, system control and dispatching service. Include in this account service billings for system control to maintain the reliability of the transmission area in accordance with reliability standards, maintaining defined voltage profiles, and monitoring operations of the transmission facilities.</w:t>
      </w:r>
    </w:p>
    <w:p w:rsidR="00BA4EFD" w:rsidRPr="00767B56" w:rsidRDefault="00BA4EFD" w:rsidP="00BA4EFD">
      <w:pPr>
        <w:pStyle w:val="NoSpacing"/>
        <w:ind w:left="1440"/>
        <w:rPr>
          <w:rFonts w:asciiTheme="minorHAnsi" w:hAnsiTheme="minorHAnsi" w:cstheme="minorHAnsi"/>
          <w:color w:val="C00000"/>
          <w:sz w:val="28"/>
          <w:szCs w:val="28"/>
          <w:lang w:val="en-US"/>
        </w:rPr>
      </w:pPr>
    </w:p>
    <w:p w:rsidR="003B79DF" w:rsidRPr="00767B56" w:rsidRDefault="003B79DF" w:rsidP="00BA4EFD">
      <w:pPr>
        <w:pStyle w:val="NoSpacing"/>
        <w:ind w:firstLine="720"/>
        <w:rPr>
          <w:rFonts w:asciiTheme="minorHAnsi" w:hAnsiTheme="minorHAnsi" w:cstheme="minorHAnsi"/>
          <w:b/>
          <w:color w:val="C00000"/>
          <w:sz w:val="28"/>
          <w:szCs w:val="28"/>
          <w:lang w:val="en-US"/>
        </w:rPr>
      </w:pPr>
      <w:r w:rsidRPr="00767B56">
        <w:rPr>
          <w:rFonts w:asciiTheme="minorHAnsi" w:hAnsiTheme="minorHAnsi" w:cstheme="minorHAnsi"/>
          <w:b/>
          <w:color w:val="C00000"/>
          <w:sz w:val="28"/>
          <w:szCs w:val="28"/>
          <w:lang w:val="en-US"/>
        </w:rPr>
        <w:t>561.5 Reliability, Planning and Standards Development.</w:t>
      </w:r>
    </w:p>
    <w:p w:rsidR="003B79DF" w:rsidRPr="00767B56" w:rsidRDefault="003B79DF" w:rsidP="00BA4EFD">
      <w:pPr>
        <w:pStyle w:val="NoSpacing"/>
        <w:ind w:left="144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 xml:space="preserve">This account shall include the cost of labor, materials </w:t>
      </w:r>
      <w:proofErr w:type="gramStart"/>
      <w:r w:rsidRPr="00767B56">
        <w:rPr>
          <w:rFonts w:asciiTheme="minorHAnsi" w:hAnsiTheme="minorHAnsi" w:cstheme="minorHAnsi"/>
          <w:color w:val="C00000"/>
          <w:sz w:val="28"/>
          <w:szCs w:val="28"/>
          <w:lang w:val="en-US"/>
        </w:rPr>
        <w:t>used</w:t>
      </w:r>
      <w:proofErr w:type="gramEnd"/>
      <w:r w:rsidRPr="00767B56">
        <w:rPr>
          <w:rFonts w:asciiTheme="minorHAnsi" w:hAnsiTheme="minorHAnsi" w:cstheme="minorHAnsi"/>
          <w:color w:val="C00000"/>
          <w:sz w:val="28"/>
          <w:szCs w:val="28"/>
          <w:lang w:val="en-US"/>
        </w:rPr>
        <w:t xml:space="preserve"> and expenses incurred for the system planning of the interconnected bulk electric transmission systems within a planning authority area.</w:t>
      </w:r>
    </w:p>
    <w:p w:rsidR="003B79DF" w:rsidRPr="00767B56" w:rsidRDefault="003B79DF" w:rsidP="00BA4EFD">
      <w:pPr>
        <w:pStyle w:val="NoSpacing"/>
        <w:ind w:left="1440" w:firstLine="720"/>
        <w:rPr>
          <w:rFonts w:asciiTheme="minorHAnsi" w:hAnsiTheme="minorHAnsi" w:cstheme="minorHAnsi"/>
          <w:smallCaps/>
          <w:color w:val="C00000"/>
          <w:kern w:val="36"/>
          <w:sz w:val="28"/>
          <w:szCs w:val="28"/>
          <w:lang w:val="en-US"/>
        </w:rPr>
      </w:pPr>
      <w:r w:rsidRPr="00767B56">
        <w:rPr>
          <w:rFonts w:asciiTheme="minorHAnsi" w:hAnsiTheme="minorHAnsi" w:cstheme="minorHAnsi"/>
          <w:smallCaps/>
          <w:color w:val="C00000"/>
          <w:kern w:val="36"/>
          <w:sz w:val="28"/>
          <w:szCs w:val="28"/>
          <w:lang w:val="en-US"/>
        </w:rPr>
        <w:lastRenderedPageBreak/>
        <w:t>Items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1. Developing and maintaining transmission system models to evaluate transmission system performance.</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2. Maintaining and applying methodologies and tools for the analysis and simulation of the transmission systems for the assessment and development of transmission expansion plans.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3. Assessing, developing and documenting transmission expansion plans.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4. Maintaining transmission system models (steady-state, dynamics, and short circuit).</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5. Collecting transmission information and transmission facility characteristics and ratings.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6. Notifying participants of any planned transmission changes that may impact their facilities.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7. Developing and reporting on transmission expansion plans for assessment and compliance with reliability standards.</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8. Developing reliability standards for the planning and operation of the interconnected bulk electric transmission systems that serve the United States, Canada, and Mexico.</w:t>
      </w:r>
    </w:p>
    <w:p w:rsidR="003B79DF" w:rsidRPr="00767B56" w:rsidRDefault="003B79DF" w:rsidP="00BA4EFD">
      <w:pPr>
        <w:pStyle w:val="NoSpacing"/>
        <w:ind w:left="288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9. Developing criteria and certification procedures for reliability authorities, transmission operators and others.</w:t>
      </w:r>
    </w:p>
    <w:p w:rsidR="003B79DF" w:rsidRPr="00767B56" w:rsidRDefault="003B79DF" w:rsidP="00BA4EFD">
      <w:pPr>
        <w:pStyle w:val="NoSpacing"/>
        <w:ind w:left="2160" w:firstLine="72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10. Outside services employed.</w:t>
      </w:r>
    </w:p>
    <w:p w:rsidR="00DA2C97" w:rsidRPr="00767B56" w:rsidRDefault="00DA2C97" w:rsidP="00BA4EFD">
      <w:pPr>
        <w:pStyle w:val="NoSpacing"/>
        <w:ind w:left="2160" w:firstLine="720"/>
        <w:rPr>
          <w:rFonts w:asciiTheme="minorHAnsi" w:hAnsiTheme="minorHAnsi" w:cstheme="minorHAnsi"/>
          <w:color w:val="C00000"/>
          <w:sz w:val="28"/>
          <w:szCs w:val="28"/>
          <w:lang w:val="en-US"/>
        </w:rPr>
      </w:pPr>
    </w:p>
    <w:p w:rsidR="003B79DF" w:rsidRPr="00767B56" w:rsidRDefault="003B79DF" w:rsidP="00BA4EFD">
      <w:pPr>
        <w:pStyle w:val="NoSpacing"/>
        <w:ind w:left="1440"/>
        <w:rPr>
          <w:rFonts w:asciiTheme="minorHAnsi" w:hAnsiTheme="minorHAnsi" w:cstheme="minorHAnsi"/>
          <w:color w:val="C00000"/>
          <w:lang w:val="en-US"/>
        </w:rPr>
      </w:pPr>
      <w:r w:rsidRPr="00767B56">
        <w:rPr>
          <w:rFonts w:asciiTheme="minorHAnsi" w:hAnsiTheme="minorHAnsi" w:cstheme="minorHAnsi"/>
          <w:smallCaps/>
          <w:color w:val="C00000"/>
          <w:lang w:val="en-US"/>
        </w:rPr>
        <w:t>Note:</w:t>
      </w:r>
      <w:r w:rsidRPr="00767B56">
        <w:rPr>
          <w:rFonts w:asciiTheme="minorHAnsi" w:hAnsiTheme="minorHAnsi" w:cstheme="minorHAnsi"/>
          <w:color w:val="C00000"/>
          <w:lang w:val="en-US"/>
        </w:rPr>
        <w:t xml:space="preserve"> The cost of supervision, customer records and collection expenses, administrative and general salaries, office supplies and expenses, property insurance, injuries and damages, employee pension and benefits, regulatory commission expenses, general advertising, and rents shall be charged to the customer accounts, service, and administrative and general expense accounts contained in the Uniform System of Accounts.</w:t>
      </w:r>
    </w:p>
    <w:p w:rsidR="00BA4EFD" w:rsidRPr="00767B56" w:rsidRDefault="00BA4EFD" w:rsidP="003B79DF">
      <w:pPr>
        <w:pStyle w:val="NoSpacing"/>
        <w:rPr>
          <w:rFonts w:asciiTheme="minorHAnsi" w:hAnsiTheme="minorHAnsi" w:cstheme="minorHAnsi"/>
          <w:color w:val="C00000"/>
          <w:sz w:val="28"/>
          <w:szCs w:val="28"/>
          <w:lang w:val="en-US"/>
        </w:rPr>
      </w:pPr>
    </w:p>
    <w:p w:rsidR="003B79DF" w:rsidRPr="00767B56" w:rsidRDefault="003B79DF" w:rsidP="00BA4EFD">
      <w:pPr>
        <w:pStyle w:val="NoSpacing"/>
        <w:ind w:firstLine="720"/>
        <w:rPr>
          <w:rFonts w:asciiTheme="minorHAnsi" w:hAnsiTheme="minorHAnsi" w:cstheme="minorHAnsi"/>
          <w:b/>
          <w:color w:val="C00000"/>
          <w:sz w:val="28"/>
          <w:szCs w:val="28"/>
          <w:lang w:val="en-US"/>
        </w:rPr>
      </w:pPr>
      <w:r w:rsidRPr="00767B56">
        <w:rPr>
          <w:rFonts w:asciiTheme="minorHAnsi" w:hAnsiTheme="minorHAnsi" w:cstheme="minorHAnsi"/>
          <w:b/>
          <w:color w:val="C00000"/>
          <w:sz w:val="28"/>
          <w:szCs w:val="28"/>
          <w:lang w:val="en-US"/>
        </w:rPr>
        <w:t>561.6 Transmission Service Studies.</w:t>
      </w:r>
    </w:p>
    <w:p w:rsidR="003B79DF" w:rsidRPr="00767B56" w:rsidRDefault="003B79DF" w:rsidP="00BA4EFD">
      <w:pPr>
        <w:pStyle w:val="NoSpacing"/>
        <w:ind w:left="144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 xml:space="preserve">This account shall include the cost of labor, materials </w:t>
      </w:r>
      <w:proofErr w:type="gramStart"/>
      <w:r w:rsidRPr="00767B56">
        <w:rPr>
          <w:rFonts w:asciiTheme="minorHAnsi" w:hAnsiTheme="minorHAnsi" w:cstheme="minorHAnsi"/>
          <w:color w:val="C00000"/>
          <w:sz w:val="28"/>
          <w:szCs w:val="28"/>
          <w:lang w:val="en-US"/>
        </w:rPr>
        <w:t>used</w:t>
      </w:r>
      <w:proofErr w:type="gramEnd"/>
      <w:r w:rsidRPr="00767B56">
        <w:rPr>
          <w:rFonts w:asciiTheme="minorHAnsi" w:hAnsiTheme="minorHAnsi" w:cstheme="minorHAnsi"/>
          <w:color w:val="C00000"/>
          <w:sz w:val="28"/>
          <w:szCs w:val="28"/>
          <w:lang w:val="en-US"/>
        </w:rPr>
        <w:t xml:space="preserve"> and expenses incurred to conduct transmission services studies for proposed interconnections with the transmission system. Detailed </w:t>
      </w:r>
      <w:r w:rsidRPr="00767B56">
        <w:rPr>
          <w:rFonts w:asciiTheme="minorHAnsi" w:hAnsiTheme="minorHAnsi" w:cstheme="minorHAnsi"/>
          <w:color w:val="C00000"/>
          <w:sz w:val="28"/>
          <w:szCs w:val="28"/>
          <w:lang w:val="en-US"/>
        </w:rPr>
        <w:lastRenderedPageBreak/>
        <w:t>records shall be maintained for each study undertaken and all reimbursements received for conducting such a study.</w:t>
      </w:r>
    </w:p>
    <w:p w:rsidR="00BA4EFD" w:rsidRPr="00767B56" w:rsidRDefault="00BA4EFD" w:rsidP="00BA4EFD">
      <w:pPr>
        <w:pStyle w:val="NoSpacing"/>
        <w:ind w:left="1440"/>
        <w:rPr>
          <w:rFonts w:asciiTheme="minorHAnsi" w:hAnsiTheme="minorHAnsi" w:cstheme="minorHAnsi"/>
          <w:color w:val="C00000"/>
          <w:sz w:val="28"/>
          <w:szCs w:val="28"/>
          <w:lang w:val="en-US"/>
        </w:rPr>
      </w:pPr>
    </w:p>
    <w:p w:rsidR="003B79DF" w:rsidRPr="00767B56" w:rsidRDefault="003B79DF" w:rsidP="00BA4EFD">
      <w:pPr>
        <w:pStyle w:val="NoSpacing"/>
        <w:ind w:firstLine="720"/>
        <w:rPr>
          <w:rFonts w:asciiTheme="minorHAnsi" w:hAnsiTheme="minorHAnsi" w:cstheme="minorHAnsi"/>
          <w:b/>
          <w:color w:val="C00000"/>
          <w:sz w:val="28"/>
          <w:szCs w:val="28"/>
          <w:lang w:val="en-US"/>
        </w:rPr>
      </w:pPr>
      <w:r w:rsidRPr="00767B56">
        <w:rPr>
          <w:rFonts w:asciiTheme="minorHAnsi" w:hAnsiTheme="minorHAnsi" w:cstheme="minorHAnsi"/>
          <w:b/>
          <w:color w:val="C00000"/>
          <w:sz w:val="28"/>
          <w:szCs w:val="28"/>
          <w:lang w:val="en-US"/>
        </w:rPr>
        <w:t>561.7 Generation Interconnection Studies.</w:t>
      </w:r>
    </w:p>
    <w:p w:rsidR="003B79DF" w:rsidRPr="00767B56" w:rsidRDefault="003B79DF" w:rsidP="00BA4EFD">
      <w:pPr>
        <w:pStyle w:val="NoSpacing"/>
        <w:ind w:left="144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 xml:space="preserve">This account shall include the cost of labor, materials </w:t>
      </w:r>
      <w:proofErr w:type="gramStart"/>
      <w:r w:rsidRPr="00767B56">
        <w:rPr>
          <w:rFonts w:asciiTheme="minorHAnsi" w:hAnsiTheme="minorHAnsi" w:cstheme="minorHAnsi"/>
          <w:color w:val="C00000"/>
          <w:sz w:val="28"/>
          <w:szCs w:val="28"/>
          <w:lang w:val="en-US"/>
        </w:rPr>
        <w:t>used</w:t>
      </w:r>
      <w:proofErr w:type="gramEnd"/>
      <w:r w:rsidRPr="00767B56">
        <w:rPr>
          <w:rFonts w:asciiTheme="minorHAnsi" w:hAnsiTheme="minorHAnsi" w:cstheme="minorHAnsi"/>
          <w:color w:val="C00000"/>
          <w:sz w:val="28"/>
          <w:szCs w:val="28"/>
          <w:lang w:val="en-US"/>
        </w:rPr>
        <w:t xml:space="preserve"> and expenses incurred to conduct generation interconnection studies for proposed interconnections with the transmission system. Detailed records shall be maintained for each study undertaken and all reimbursements received for conducting such a study.</w:t>
      </w:r>
    </w:p>
    <w:p w:rsidR="00BA4EFD" w:rsidRPr="00767B56" w:rsidRDefault="00BA4EFD" w:rsidP="00BA4EFD">
      <w:pPr>
        <w:pStyle w:val="NoSpacing"/>
        <w:ind w:left="1440"/>
        <w:rPr>
          <w:rFonts w:asciiTheme="minorHAnsi" w:hAnsiTheme="minorHAnsi" w:cstheme="minorHAnsi"/>
          <w:color w:val="C00000"/>
          <w:sz w:val="28"/>
          <w:szCs w:val="28"/>
          <w:lang w:val="en-US"/>
        </w:rPr>
      </w:pPr>
    </w:p>
    <w:p w:rsidR="003B79DF" w:rsidRPr="00767B56" w:rsidRDefault="003B79DF" w:rsidP="00BA4EFD">
      <w:pPr>
        <w:pStyle w:val="NoSpacing"/>
        <w:ind w:firstLine="720"/>
        <w:rPr>
          <w:rFonts w:asciiTheme="minorHAnsi" w:hAnsiTheme="minorHAnsi" w:cstheme="minorHAnsi"/>
          <w:b/>
          <w:color w:val="C00000"/>
          <w:sz w:val="28"/>
          <w:szCs w:val="28"/>
          <w:lang w:val="en-US"/>
        </w:rPr>
      </w:pPr>
      <w:r w:rsidRPr="00767B56">
        <w:rPr>
          <w:rFonts w:asciiTheme="minorHAnsi" w:hAnsiTheme="minorHAnsi" w:cstheme="minorHAnsi"/>
          <w:b/>
          <w:color w:val="C00000"/>
          <w:sz w:val="28"/>
          <w:szCs w:val="28"/>
          <w:lang w:val="en-US"/>
        </w:rPr>
        <w:t>561.8 Reliability Planning and Standards Development Services</w:t>
      </w:r>
    </w:p>
    <w:p w:rsidR="003B79DF" w:rsidRPr="00767B56" w:rsidRDefault="003B79DF" w:rsidP="00BA4EFD">
      <w:pPr>
        <w:pStyle w:val="NoSpacing"/>
        <w:ind w:left="1440"/>
        <w:rPr>
          <w:rFonts w:asciiTheme="minorHAnsi" w:hAnsiTheme="minorHAnsi" w:cstheme="minorHAnsi"/>
          <w:color w:val="C00000"/>
          <w:sz w:val="28"/>
          <w:szCs w:val="28"/>
          <w:lang w:val="en-US"/>
        </w:rPr>
      </w:pPr>
      <w:r w:rsidRPr="00767B56">
        <w:rPr>
          <w:rFonts w:asciiTheme="minorHAnsi" w:hAnsiTheme="minorHAnsi" w:cstheme="minorHAnsi"/>
          <w:color w:val="C00000"/>
          <w:sz w:val="28"/>
          <w:szCs w:val="28"/>
          <w:lang w:val="en-US"/>
        </w:rPr>
        <w:t>This account shall include the costs billed to the transmission owner, load serving entity, or generator for system planning of the interconnected bulk electric transmission system. Include also the costs billed by the regional transmission service provider for system reliability and resource planning to develop long-term strategies to meet customer demand and energy requirements. This account shall also include fees and expenses for outside services incurred by the regional transmission service provider and billed to the load serving entity, transmission owner or generator.</w:t>
      </w:r>
    </w:p>
    <w:p w:rsidR="00BA4EFD" w:rsidRPr="00767B56" w:rsidRDefault="00BA4EFD" w:rsidP="00BA4EFD">
      <w:pPr>
        <w:rPr>
          <w:color w:val="C00000"/>
        </w:rPr>
      </w:pPr>
    </w:p>
    <w:p w:rsidR="00DA2C97" w:rsidRPr="00767B56" w:rsidRDefault="00DA2C97" w:rsidP="00767B56">
      <w:pPr>
        <w:spacing w:line="240" w:lineRule="auto"/>
        <w:ind w:left="720"/>
        <w:rPr>
          <w:rFonts w:asciiTheme="minorHAnsi" w:hAnsiTheme="minorHAnsi" w:cstheme="minorHAnsi"/>
          <w:color w:val="C00000"/>
          <w:sz w:val="28"/>
          <w:szCs w:val="28"/>
        </w:rPr>
      </w:pPr>
      <w:r w:rsidRPr="00767B56">
        <w:rPr>
          <w:rFonts w:asciiTheme="minorHAnsi" w:hAnsiTheme="minorHAnsi" w:cstheme="minorHAnsi"/>
          <w:color w:val="C00000"/>
          <w:sz w:val="28"/>
          <w:szCs w:val="28"/>
        </w:rPr>
        <w:t xml:space="preserve">The FERC Uniform System of Accounts for </w:t>
      </w:r>
      <w:r w:rsidRPr="00767B56">
        <w:rPr>
          <w:rFonts w:asciiTheme="minorHAnsi" w:hAnsiTheme="minorHAnsi" w:cstheme="minorHAnsi"/>
          <w:color w:val="C00000"/>
          <w:sz w:val="28"/>
          <w:szCs w:val="28"/>
          <w:u w:val="single"/>
        </w:rPr>
        <w:t>Account #581</w:t>
      </w:r>
      <w:r w:rsidRPr="00767B56">
        <w:rPr>
          <w:rFonts w:asciiTheme="minorHAnsi" w:hAnsiTheme="minorHAnsi" w:cstheme="minorHAnsi"/>
          <w:color w:val="C00000"/>
          <w:sz w:val="28"/>
          <w:szCs w:val="28"/>
        </w:rPr>
        <w:t>-Distribution Load Dispatching states:</w:t>
      </w:r>
    </w:p>
    <w:p w:rsidR="00BA4EFD" w:rsidRPr="00767B56" w:rsidRDefault="00BA4EFD" w:rsidP="00DA2C97">
      <w:pPr>
        <w:pStyle w:val="NoSpacing"/>
        <w:rPr>
          <w:rFonts w:asciiTheme="minorHAnsi" w:hAnsiTheme="minorHAnsi"/>
          <w:color w:val="C00000"/>
          <w:sz w:val="28"/>
          <w:szCs w:val="28"/>
        </w:rPr>
      </w:pPr>
    </w:p>
    <w:p w:rsidR="00DA2C97" w:rsidRPr="00767B56" w:rsidRDefault="00DA2C97" w:rsidP="00DA2C97">
      <w:pPr>
        <w:pStyle w:val="NoSpacing"/>
        <w:ind w:firstLine="720"/>
        <w:rPr>
          <w:rFonts w:asciiTheme="minorHAnsi" w:eastAsia="Times New Roman" w:hAnsiTheme="minorHAnsi" w:cs="Times New Roman"/>
          <w:b/>
          <w:bCs/>
          <w:color w:val="C00000"/>
          <w:sz w:val="28"/>
          <w:szCs w:val="28"/>
          <w:lang w:val="en-US"/>
        </w:rPr>
      </w:pPr>
      <w:r w:rsidRPr="00767B56">
        <w:rPr>
          <w:rFonts w:asciiTheme="minorHAnsi" w:eastAsia="Times New Roman" w:hAnsiTheme="minorHAnsi" w:cs="Times New Roman"/>
          <w:b/>
          <w:bCs/>
          <w:color w:val="C00000"/>
          <w:sz w:val="28"/>
          <w:szCs w:val="28"/>
          <w:lang w:val="en-US"/>
        </w:rPr>
        <w:t xml:space="preserve">581 Load dispatching (Major only). </w:t>
      </w:r>
    </w:p>
    <w:p w:rsidR="00DA2C97" w:rsidRPr="00767B56" w:rsidRDefault="00DA2C97" w:rsidP="00DA2C97">
      <w:pPr>
        <w:pStyle w:val="NoSpacing"/>
        <w:ind w:left="144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This account (the keeping of which is optional with the utility) shall include the cost of labor, materials </w:t>
      </w:r>
      <w:proofErr w:type="gramStart"/>
      <w:r w:rsidRPr="00767B56">
        <w:rPr>
          <w:rFonts w:asciiTheme="minorHAnsi" w:eastAsia="Times New Roman" w:hAnsiTheme="minorHAnsi" w:cs="Times New Roman"/>
          <w:color w:val="C00000"/>
          <w:sz w:val="28"/>
          <w:szCs w:val="28"/>
          <w:lang w:val="en-US"/>
        </w:rPr>
        <w:t>used</w:t>
      </w:r>
      <w:proofErr w:type="gramEnd"/>
      <w:r w:rsidRPr="00767B56">
        <w:rPr>
          <w:rFonts w:asciiTheme="minorHAnsi" w:eastAsia="Times New Roman" w:hAnsiTheme="minorHAnsi" w:cs="Times New Roman"/>
          <w:color w:val="C00000"/>
          <w:sz w:val="28"/>
          <w:szCs w:val="28"/>
          <w:lang w:val="en-US"/>
        </w:rPr>
        <w:t xml:space="preserve"> and expenses incurred in load dispatching operations pertaining to the distribution of electricity. </w:t>
      </w:r>
    </w:p>
    <w:p w:rsidR="00DA2C97" w:rsidRPr="00767B56" w:rsidRDefault="00DA2C97" w:rsidP="00DA2C97">
      <w:pPr>
        <w:pStyle w:val="NoSpacing"/>
        <w:ind w:left="1440" w:firstLine="720"/>
        <w:rPr>
          <w:rFonts w:asciiTheme="minorHAnsi" w:eastAsia="Times New Roman" w:hAnsiTheme="minorHAnsi" w:cs="Times New Roman"/>
          <w:smallCaps/>
          <w:color w:val="C00000"/>
          <w:kern w:val="36"/>
          <w:sz w:val="28"/>
          <w:szCs w:val="28"/>
          <w:lang w:val="en-US"/>
        </w:rPr>
      </w:pPr>
      <w:r w:rsidRPr="00767B56">
        <w:rPr>
          <w:rFonts w:asciiTheme="minorHAnsi" w:eastAsia="Times New Roman" w:hAnsiTheme="minorHAnsi" w:cs="Times New Roman"/>
          <w:smallCaps/>
          <w:color w:val="C00000"/>
          <w:kern w:val="36"/>
          <w:sz w:val="28"/>
          <w:szCs w:val="28"/>
          <w:lang w:val="en-US"/>
        </w:rPr>
        <w:t>Items</w:t>
      </w:r>
    </w:p>
    <w:p w:rsidR="00DA2C97" w:rsidRPr="00767B56" w:rsidRDefault="00DA2C97" w:rsidP="00DA2C97">
      <w:pPr>
        <w:pStyle w:val="NoSpacing"/>
        <w:ind w:left="2160" w:firstLine="72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Labor: </w:t>
      </w:r>
    </w:p>
    <w:p w:rsidR="00DA2C97" w:rsidRPr="00767B56" w:rsidRDefault="00DA2C97" w:rsidP="00DA2C97">
      <w:pPr>
        <w:pStyle w:val="NoSpacing"/>
        <w:ind w:left="2160" w:firstLine="72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1. Directing switching. </w:t>
      </w:r>
    </w:p>
    <w:p w:rsidR="00DA2C97" w:rsidRPr="00767B56" w:rsidRDefault="00DA2C97" w:rsidP="00DA2C97">
      <w:pPr>
        <w:pStyle w:val="NoSpacing"/>
        <w:ind w:left="288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2. Arranging and controlling clearances for construction, maintenance, test and emergency purposes. </w:t>
      </w:r>
    </w:p>
    <w:p w:rsidR="00DA2C97" w:rsidRPr="00767B56" w:rsidRDefault="00DA2C97" w:rsidP="00DA2C97">
      <w:pPr>
        <w:pStyle w:val="NoSpacing"/>
        <w:ind w:left="2160" w:firstLine="72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3. Controlling system voltages. </w:t>
      </w:r>
    </w:p>
    <w:p w:rsidR="00DA2C97" w:rsidRPr="00767B56" w:rsidRDefault="00DA2C97" w:rsidP="00DA2C97">
      <w:pPr>
        <w:pStyle w:val="NoSpacing"/>
        <w:ind w:left="2160" w:firstLine="72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4. Preparing operating reports. </w:t>
      </w:r>
    </w:p>
    <w:p w:rsidR="00DA2C97" w:rsidRPr="00767B56" w:rsidRDefault="00DA2C97" w:rsidP="00DA2C97">
      <w:pPr>
        <w:pStyle w:val="NoSpacing"/>
        <w:ind w:left="2160" w:firstLine="72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5. Obtaining reports on the weather and special events. </w:t>
      </w:r>
    </w:p>
    <w:p w:rsidR="00DA2C97" w:rsidRPr="00767B56" w:rsidRDefault="00DA2C97" w:rsidP="00DA2C97">
      <w:pPr>
        <w:pStyle w:val="NoSpacing"/>
        <w:ind w:left="2160" w:firstLine="72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Expenses: </w:t>
      </w:r>
    </w:p>
    <w:p w:rsidR="00DA2C97" w:rsidRPr="00767B56" w:rsidRDefault="00DA2C97" w:rsidP="00DA2C97">
      <w:pPr>
        <w:pStyle w:val="NoSpacing"/>
        <w:ind w:left="288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lastRenderedPageBreak/>
        <w:t xml:space="preserve">6. Communication service provided for system control purposes. </w:t>
      </w:r>
    </w:p>
    <w:p w:rsidR="00DA2C97" w:rsidRPr="00767B56" w:rsidRDefault="00DA2C97" w:rsidP="00DA2C97">
      <w:pPr>
        <w:pStyle w:val="NoSpacing"/>
        <w:ind w:left="2160" w:firstLine="72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 xml:space="preserve">7. System record and report forms. </w:t>
      </w:r>
    </w:p>
    <w:p w:rsidR="00DA2C97" w:rsidRPr="00767B56" w:rsidRDefault="00DA2C97" w:rsidP="00DA2C97">
      <w:pPr>
        <w:pStyle w:val="NoSpacing"/>
        <w:ind w:left="2160" w:firstLine="720"/>
        <w:rPr>
          <w:rFonts w:asciiTheme="minorHAnsi" w:eastAsia="Times New Roman" w:hAnsiTheme="minorHAnsi" w:cs="Times New Roman"/>
          <w:color w:val="C00000"/>
          <w:sz w:val="28"/>
          <w:szCs w:val="28"/>
          <w:lang w:val="en-US"/>
        </w:rPr>
      </w:pPr>
      <w:r w:rsidRPr="00767B56">
        <w:rPr>
          <w:rFonts w:asciiTheme="minorHAnsi" w:eastAsia="Times New Roman" w:hAnsiTheme="minorHAnsi" w:cs="Times New Roman"/>
          <w:color w:val="C00000"/>
          <w:sz w:val="28"/>
          <w:szCs w:val="28"/>
          <w:lang w:val="en-US"/>
        </w:rPr>
        <w:t>8. Meals, traveling and incidental expenses.</w:t>
      </w:r>
    </w:p>
    <w:p w:rsidR="00BA4EFD" w:rsidRPr="00767B56" w:rsidRDefault="00BA4EFD" w:rsidP="00DA2C97">
      <w:pPr>
        <w:pStyle w:val="NoSpacing"/>
        <w:rPr>
          <w:rFonts w:asciiTheme="minorHAnsi" w:hAnsiTheme="minorHAnsi"/>
          <w:color w:val="C00000"/>
          <w:sz w:val="28"/>
          <w:szCs w:val="28"/>
        </w:rPr>
      </w:pPr>
    </w:p>
    <w:p w:rsidR="00BA4EFD" w:rsidRPr="00767B56" w:rsidRDefault="00BA4EFD" w:rsidP="00DA2C97">
      <w:pPr>
        <w:pStyle w:val="NoSpacing"/>
        <w:rPr>
          <w:rFonts w:asciiTheme="minorHAnsi" w:hAnsiTheme="minorHAnsi"/>
          <w:color w:val="C00000"/>
          <w:sz w:val="28"/>
          <w:szCs w:val="28"/>
        </w:rPr>
      </w:pPr>
    </w:p>
    <w:p w:rsidR="00BA4EFD" w:rsidRDefault="00BA4EFD" w:rsidP="00B54790">
      <w:pPr>
        <w:spacing w:line="240" w:lineRule="auto"/>
        <w:ind w:left="720"/>
        <w:rPr>
          <w:rFonts w:asciiTheme="minorHAnsi" w:hAnsiTheme="minorHAnsi" w:cstheme="minorHAnsi"/>
          <w:color w:val="FF0000"/>
          <w:sz w:val="28"/>
          <w:szCs w:val="28"/>
        </w:rPr>
      </w:pPr>
      <w:r w:rsidRPr="003B79DF">
        <w:rPr>
          <w:rFonts w:asciiTheme="minorHAnsi" w:hAnsiTheme="minorHAnsi" w:cstheme="minorHAnsi"/>
          <w:color w:val="FF0000"/>
          <w:sz w:val="28"/>
          <w:szCs w:val="28"/>
        </w:rPr>
        <w:t>The amounts reflected in</w:t>
      </w:r>
      <w:r w:rsidR="00C90E87">
        <w:rPr>
          <w:rFonts w:asciiTheme="minorHAnsi" w:hAnsiTheme="minorHAnsi" w:cstheme="minorHAnsi"/>
          <w:color w:val="FF0000"/>
          <w:sz w:val="28"/>
          <w:szCs w:val="28"/>
        </w:rPr>
        <w:t xml:space="preserve"> both</w:t>
      </w:r>
      <w:r w:rsidRPr="003B79DF">
        <w:rPr>
          <w:rFonts w:asciiTheme="minorHAnsi" w:hAnsiTheme="minorHAnsi" w:cstheme="minorHAnsi"/>
          <w:color w:val="FF0000"/>
          <w:sz w:val="28"/>
          <w:szCs w:val="28"/>
        </w:rPr>
        <w:t xml:space="preserve"> Account Nos. 561 and 581 are labor</w:t>
      </w:r>
      <w:r w:rsidR="007A196D">
        <w:rPr>
          <w:rFonts w:asciiTheme="minorHAnsi" w:hAnsiTheme="minorHAnsi" w:cstheme="minorHAnsi"/>
          <w:color w:val="FF0000"/>
          <w:sz w:val="28"/>
          <w:szCs w:val="28"/>
        </w:rPr>
        <w:t xml:space="preserve"> or</w:t>
      </w:r>
      <w:r w:rsidRPr="003B79DF">
        <w:rPr>
          <w:rFonts w:asciiTheme="minorHAnsi" w:hAnsiTheme="minorHAnsi" w:cstheme="minorHAnsi"/>
          <w:color w:val="FF0000"/>
          <w:sz w:val="28"/>
          <w:szCs w:val="28"/>
        </w:rPr>
        <w:t xml:space="preserve"> labor related overheads associated with the overall operation of Grant PUD</w:t>
      </w:r>
      <w:r w:rsidR="00767B56">
        <w:rPr>
          <w:rFonts w:asciiTheme="minorHAnsi" w:hAnsiTheme="minorHAnsi" w:cstheme="minorHAnsi"/>
          <w:color w:val="FF0000"/>
          <w:sz w:val="28"/>
          <w:szCs w:val="28"/>
        </w:rPr>
        <w:t>’s transmission and distribution</w:t>
      </w:r>
      <w:r w:rsidRPr="003B79DF">
        <w:rPr>
          <w:rFonts w:asciiTheme="minorHAnsi" w:hAnsiTheme="minorHAnsi" w:cstheme="minorHAnsi"/>
          <w:color w:val="FF0000"/>
          <w:sz w:val="28"/>
          <w:szCs w:val="28"/>
        </w:rPr>
        <w:t xml:space="preserve"> system - costs of dispatching electric load through its electric system to meet customer needs.</w:t>
      </w:r>
      <w:r w:rsidR="00713406">
        <w:rPr>
          <w:rFonts w:asciiTheme="minorHAnsi" w:hAnsiTheme="minorHAnsi" w:cstheme="minorHAnsi"/>
          <w:color w:val="FF0000"/>
          <w:sz w:val="28"/>
          <w:szCs w:val="28"/>
        </w:rPr>
        <w:t xml:space="preserve">  If the labor and labor overhead</w:t>
      </w:r>
      <w:r w:rsidR="007A196D">
        <w:rPr>
          <w:rFonts w:asciiTheme="minorHAnsi" w:hAnsiTheme="minorHAnsi" w:cstheme="minorHAnsi"/>
          <w:color w:val="FF0000"/>
          <w:sz w:val="28"/>
          <w:szCs w:val="28"/>
        </w:rPr>
        <w:t xml:space="preserve"> amounts</w:t>
      </w:r>
      <w:r w:rsidR="00713406">
        <w:rPr>
          <w:rFonts w:asciiTheme="minorHAnsi" w:hAnsiTheme="minorHAnsi" w:cstheme="minorHAnsi"/>
          <w:color w:val="FF0000"/>
          <w:sz w:val="28"/>
          <w:szCs w:val="28"/>
        </w:rPr>
        <w:t xml:space="preserve"> w</w:t>
      </w:r>
      <w:r w:rsidR="007A196D">
        <w:rPr>
          <w:rFonts w:asciiTheme="minorHAnsi" w:hAnsiTheme="minorHAnsi" w:cstheme="minorHAnsi"/>
          <w:color w:val="FF0000"/>
          <w:sz w:val="28"/>
          <w:szCs w:val="28"/>
        </w:rPr>
        <w:t>ere</w:t>
      </w:r>
      <w:r w:rsidR="00713406">
        <w:rPr>
          <w:rFonts w:asciiTheme="minorHAnsi" w:hAnsiTheme="minorHAnsi" w:cstheme="minorHAnsi"/>
          <w:color w:val="FF0000"/>
          <w:sz w:val="28"/>
          <w:szCs w:val="28"/>
        </w:rPr>
        <w:t xml:space="preserve"> incurred for transmission purposes, the amount</w:t>
      </w:r>
      <w:r w:rsidR="007A196D">
        <w:rPr>
          <w:rFonts w:asciiTheme="minorHAnsi" w:hAnsiTheme="minorHAnsi" w:cstheme="minorHAnsi"/>
          <w:color w:val="FF0000"/>
          <w:sz w:val="28"/>
          <w:szCs w:val="28"/>
        </w:rPr>
        <w:t>s</w:t>
      </w:r>
      <w:r w:rsidR="00713406">
        <w:rPr>
          <w:rFonts w:asciiTheme="minorHAnsi" w:hAnsiTheme="minorHAnsi" w:cstheme="minorHAnsi"/>
          <w:color w:val="FF0000"/>
          <w:sz w:val="28"/>
          <w:szCs w:val="28"/>
        </w:rPr>
        <w:t xml:space="preserve"> were recorded as transmission costs and included in Account No. 561</w:t>
      </w:r>
      <w:r w:rsidR="00AA048C">
        <w:rPr>
          <w:rFonts w:asciiTheme="minorHAnsi" w:hAnsiTheme="minorHAnsi" w:cstheme="minorHAnsi"/>
          <w:color w:val="FF0000"/>
          <w:sz w:val="28"/>
          <w:szCs w:val="28"/>
        </w:rPr>
        <w:t>.</w:t>
      </w:r>
      <w:r w:rsidR="00713406">
        <w:rPr>
          <w:rFonts w:asciiTheme="minorHAnsi" w:hAnsiTheme="minorHAnsi" w:cstheme="minorHAnsi"/>
          <w:color w:val="FF0000"/>
          <w:sz w:val="28"/>
          <w:szCs w:val="28"/>
        </w:rPr>
        <w:t xml:space="preserve">  If the labor and labor overhead </w:t>
      </w:r>
      <w:r w:rsidR="007A196D">
        <w:rPr>
          <w:rFonts w:asciiTheme="minorHAnsi" w:hAnsiTheme="minorHAnsi" w:cstheme="minorHAnsi"/>
          <w:color w:val="FF0000"/>
          <w:sz w:val="28"/>
          <w:szCs w:val="28"/>
        </w:rPr>
        <w:t xml:space="preserve">amounts </w:t>
      </w:r>
      <w:r w:rsidR="00713406">
        <w:rPr>
          <w:rFonts w:asciiTheme="minorHAnsi" w:hAnsiTheme="minorHAnsi" w:cstheme="minorHAnsi"/>
          <w:color w:val="FF0000"/>
          <w:sz w:val="28"/>
          <w:szCs w:val="28"/>
        </w:rPr>
        <w:t>w</w:t>
      </w:r>
      <w:r w:rsidR="007A196D">
        <w:rPr>
          <w:rFonts w:asciiTheme="minorHAnsi" w:hAnsiTheme="minorHAnsi" w:cstheme="minorHAnsi"/>
          <w:color w:val="FF0000"/>
          <w:sz w:val="28"/>
          <w:szCs w:val="28"/>
        </w:rPr>
        <w:t>ere</w:t>
      </w:r>
      <w:r w:rsidR="00713406">
        <w:rPr>
          <w:rFonts w:asciiTheme="minorHAnsi" w:hAnsiTheme="minorHAnsi" w:cstheme="minorHAnsi"/>
          <w:color w:val="FF0000"/>
          <w:sz w:val="28"/>
          <w:szCs w:val="28"/>
        </w:rPr>
        <w:t xml:space="preserve"> incurred for distribution purposes, the amoun</w:t>
      </w:r>
      <w:r w:rsidR="007A196D">
        <w:rPr>
          <w:rFonts w:asciiTheme="minorHAnsi" w:hAnsiTheme="minorHAnsi" w:cstheme="minorHAnsi"/>
          <w:color w:val="FF0000"/>
          <w:sz w:val="28"/>
          <w:szCs w:val="28"/>
        </w:rPr>
        <w:t>ts</w:t>
      </w:r>
      <w:r w:rsidR="00713406">
        <w:rPr>
          <w:rFonts w:asciiTheme="minorHAnsi" w:hAnsiTheme="minorHAnsi" w:cstheme="minorHAnsi"/>
          <w:color w:val="FF0000"/>
          <w:sz w:val="28"/>
          <w:szCs w:val="28"/>
        </w:rPr>
        <w:t xml:space="preserve"> were recorded as distribution costs and included in Account No. 581.</w:t>
      </w:r>
      <w:r w:rsidR="009D4E7D">
        <w:rPr>
          <w:rFonts w:asciiTheme="minorHAnsi" w:hAnsiTheme="minorHAnsi" w:cstheme="minorHAnsi"/>
          <w:color w:val="FF0000"/>
          <w:sz w:val="28"/>
          <w:szCs w:val="28"/>
        </w:rPr>
        <w:t xml:space="preserve">  </w:t>
      </w:r>
    </w:p>
    <w:p w:rsidR="00B54790" w:rsidRDefault="00B54790" w:rsidP="00B54790">
      <w:pPr>
        <w:spacing w:line="240" w:lineRule="auto"/>
        <w:ind w:left="720"/>
        <w:rPr>
          <w:rFonts w:asciiTheme="minorHAnsi" w:hAnsiTheme="minorHAnsi" w:cstheme="minorHAnsi"/>
          <w:color w:val="FF0000"/>
          <w:sz w:val="28"/>
          <w:szCs w:val="28"/>
        </w:rPr>
      </w:pPr>
    </w:p>
    <w:p w:rsidR="00B54790" w:rsidRDefault="00B54790" w:rsidP="00B54790">
      <w:pPr>
        <w:spacing w:line="240" w:lineRule="auto"/>
        <w:ind w:left="720"/>
        <w:rPr>
          <w:rFonts w:asciiTheme="minorHAnsi" w:hAnsiTheme="minorHAnsi" w:cstheme="minorHAnsi"/>
          <w:color w:val="FF0000"/>
          <w:sz w:val="28"/>
          <w:szCs w:val="28"/>
        </w:rPr>
      </w:pPr>
      <w:r>
        <w:rPr>
          <w:rFonts w:asciiTheme="minorHAnsi" w:hAnsiTheme="minorHAnsi" w:cstheme="minorHAnsi"/>
          <w:color w:val="FF0000"/>
          <w:sz w:val="28"/>
          <w:szCs w:val="28"/>
        </w:rPr>
        <w:t>Account No. 561 for 2018 was $5,094,974, while in 2017, the amount was $3,907,764, for a difference of $1,187,210.</w:t>
      </w:r>
      <w:r w:rsidR="00BB4451">
        <w:rPr>
          <w:rFonts w:asciiTheme="minorHAnsi" w:hAnsiTheme="minorHAnsi" w:cstheme="minorHAnsi"/>
          <w:color w:val="FF0000"/>
          <w:sz w:val="28"/>
          <w:szCs w:val="28"/>
        </w:rPr>
        <w:t xml:space="preserve">  The explanation of this increase is that in 2018</w:t>
      </w:r>
      <w:r>
        <w:rPr>
          <w:rFonts w:asciiTheme="minorHAnsi" w:hAnsiTheme="minorHAnsi" w:cstheme="minorHAnsi"/>
          <w:color w:val="FF0000"/>
          <w:sz w:val="28"/>
          <w:szCs w:val="28"/>
        </w:rPr>
        <w:t xml:space="preserve"> Grant PUD continued to </w:t>
      </w:r>
      <w:r w:rsidR="00BB4451">
        <w:rPr>
          <w:rFonts w:asciiTheme="minorHAnsi" w:hAnsiTheme="minorHAnsi" w:cstheme="minorHAnsi"/>
          <w:color w:val="FF0000"/>
          <w:sz w:val="28"/>
          <w:szCs w:val="28"/>
        </w:rPr>
        <w:t xml:space="preserve">make </w:t>
      </w:r>
      <w:r>
        <w:rPr>
          <w:rFonts w:asciiTheme="minorHAnsi" w:hAnsiTheme="minorHAnsi" w:cstheme="minorHAnsi"/>
          <w:color w:val="FF0000"/>
          <w:sz w:val="28"/>
          <w:szCs w:val="28"/>
        </w:rPr>
        <w:t>improve</w:t>
      </w:r>
      <w:r w:rsidR="00BB4451">
        <w:rPr>
          <w:rFonts w:asciiTheme="minorHAnsi" w:hAnsiTheme="minorHAnsi" w:cstheme="minorHAnsi"/>
          <w:color w:val="FF0000"/>
          <w:sz w:val="28"/>
          <w:szCs w:val="28"/>
        </w:rPr>
        <w:t xml:space="preserve">ments to </w:t>
      </w:r>
      <w:r>
        <w:rPr>
          <w:rFonts w:asciiTheme="minorHAnsi" w:hAnsiTheme="minorHAnsi" w:cstheme="minorHAnsi"/>
          <w:color w:val="FF0000"/>
          <w:sz w:val="28"/>
          <w:szCs w:val="28"/>
        </w:rPr>
        <w:t>its account</w:t>
      </w:r>
      <w:r w:rsidR="00BB4451">
        <w:rPr>
          <w:rFonts w:asciiTheme="minorHAnsi" w:hAnsiTheme="minorHAnsi" w:cstheme="minorHAnsi"/>
          <w:color w:val="FF0000"/>
          <w:sz w:val="28"/>
          <w:szCs w:val="28"/>
        </w:rPr>
        <w:t xml:space="preserve">ing system by making the determination that Reliability Compliance Standards labor and labor overheads amounts previously in Administrative and General Expense should instead be recorded in Account No. 561 as a direct transmission expense. </w:t>
      </w:r>
    </w:p>
    <w:p w:rsidR="00B54790" w:rsidRDefault="00B54790" w:rsidP="00B54790">
      <w:pPr>
        <w:spacing w:line="240" w:lineRule="auto"/>
        <w:ind w:left="720"/>
        <w:rPr>
          <w:rFonts w:asciiTheme="minorHAnsi" w:hAnsiTheme="minorHAnsi" w:cstheme="minorHAnsi"/>
          <w:color w:val="FF0000"/>
          <w:sz w:val="28"/>
          <w:szCs w:val="28"/>
        </w:rPr>
      </w:pPr>
    </w:p>
    <w:p w:rsidR="009D4E7D" w:rsidRPr="00B54790" w:rsidRDefault="009D4E7D" w:rsidP="00B54790">
      <w:pPr>
        <w:pStyle w:val="NoSpacing"/>
        <w:ind w:left="720"/>
        <w:rPr>
          <w:rFonts w:asciiTheme="minorHAnsi" w:hAnsiTheme="minorHAnsi" w:cstheme="minorHAnsi"/>
          <w:color w:val="C00000"/>
          <w:sz w:val="28"/>
          <w:szCs w:val="28"/>
        </w:rPr>
      </w:pPr>
      <w:r w:rsidRPr="00B54790">
        <w:rPr>
          <w:rFonts w:asciiTheme="minorHAnsi" w:eastAsia="Times New Roman" w:hAnsiTheme="minorHAnsi" w:cstheme="minorHAnsi"/>
          <w:color w:val="C00000"/>
          <w:sz w:val="28"/>
          <w:szCs w:val="28"/>
        </w:rPr>
        <w:t xml:space="preserve">To support </w:t>
      </w:r>
      <w:r w:rsidR="00BB4451">
        <w:rPr>
          <w:rFonts w:asciiTheme="minorHAnsi" w:eastAsia="Times New Roman" w:hAnsiTheme="minorHAnsi" w:cstheme="minorHAnsi"/>
          <w:color w:val="C00000"/>
          <w:sz w:val="28"/>
          <w:szCs w:val="28"/>
        </w:rPr>
        <w:t>its accounting</w:t>
      </w:r>
      <w:r w:rsidRPr="00B54790">
        <w:rPr>
          <w:rFonts w:asciiTheme="minorHAnsi" w:eastAsia="Times New Roman" w:hAnsiTheme="minorHAnsi" w:cstheme="minorHAnsi"/>
          <w:color w:val="C00000"/>
          <w:sz w:val="28"/>
          <w:szCs w:val="28"/>
        </w:rPr>
        <w:t xml:space="preserve"> position, see Grant PUD </w:t>
      </w:r>
      <w:r w:rsidRPr="00B54790">
        <w:rPr>
          <w:rFonts w:asciiTheme="minorHAnsi" w:hAnsiTheme="minorHAnsi" w:cstheme="minorHAnsi"/>
          <w:color w:val="C00000"/>
          <w:sz w:val="28"/>
          <w:szCs w:val="28"/>
        </w:rPr>
        <w:t>response to USBR’s August 27, 2019 Question No. 10, which states:</w:t>
      </w:r>
    </w:p>
    <w:p w:rsidR="009D4E7D" w:rsidRPr="00B54790" w:rsidRDefault="009D4E7D" w:rsidP="009D4E7D">
      <w:pPr>
        <w:pStyle w:val="NoSpacing"/>
        <w:rPr>
          <w:rFonts w:asciiTheme="minorHAnsi" w:hAnsiTheme="minorHAnsi" w:cstheme="minorHAnsi"/>
          <w:color w:val="C00000"/>
          <w:sz w:val="28"/>
          <w:szCs w:val="28"/>
        </w:rPr>
      </w:pPr>
    </w:p>
    <w:p w:rsidR="009D4E7D" w:rsidRPr="00B54790" w:rsidRDefault="009D4E7D" w:rsidP="00B54790">
      <w:pPr>
        <w:pStyle w:val="NoSpacing"/>
        <w:ind w:left="1440"/>
        <w:rPr>
          <w:rFonts w:asciiTheme="minorHAnsi" w:hAnsiTheme="minorHAnsi" w:cstheme="minorHAnsi"/>
          <w:i/>
          <w:color w:val="C00000"/>
          <w:sz w:val="28"/>
          <w:szCs w:val="28"/>
        </w:rPr>
      </w:pPr>
      <w:r w:rsidRPr="00B54790">
        <w:rPr>
          <w:rFonts w:asciiTheme="minorHAnsi" w:hAnsiTheme="minorHAnsi" w:cstheme="minorHAnsi"/>
          <w:i/>
          <w:color w:val="C00000"/>
          <w:sz w:val="28"/>
          <w:szCs w:val="28"/>
        </w:rPr>
        <w:t>Grant PUD uses the FERC Uniform Chart of Accounts to record all district transactions, such as Operation and Maintenance (O&amp;M) expenses and Plant in Service.  As explained in Grant PUD’s 2018 annual report, Notes to the Financial Statements, Note 1, on page 33:</w:t>
      </w:r>
    </w:p>
    <w:p w:rsidR="009D4E7D" w:rsidRPr="00B54790" w:rsidRDefault="009D4E7D" w:rsidP="009D4E7D">
      <w:pPr>
        <w:pStyle w:val="NoSpacing"/>
        <w:rPr>
          <w:rFonts w:asciiTheme="minorHAnsi" w:hAnsiTheme="minorHAnsi" w:cstheme="minorHAnsi"/>
          <w:color w:val="C00000"/>
          <w:sz w:val="28"/>
          <w:szCs w:val="28"/>
        </w:rPr>
      </w:pPr>
    </w:p>
    <w:p w:rsidR="009D4E7D" w:rsidRPr="00B54790" w:rsidRDefault="009D4E7D" w:rsidP="00B54790">
      <w:pPr>
        <w:pStyle w:val="NoSpacing"/>
        <w:ind w:left="2160"/>
        <w:rPr>
          <w:rFonts w:asciiTheme="minorHAnsi" w:hAnsiTheme="minorHAnsi" w:cstheme="minorHAnsi"/>
          <w:i/>
          <w:color w:val="C00000"/>
          <w:sz w:val="28"/>
          <w:szCs w:val="28"/>
        </w:rPr>
      </w:pPr>
      <w:r w:rsidRPr="00B54790">
        <w:rPr>
          <w:rFonts w:asciiTheme="minorHAnsi" w:hAnsiTheme="minorHAnsi" w:cstheme="minorHAnsi"/>
          <w:i/>
          <w:color w:val="C00000"/>
          <w:sz w:val="28"/>
          <w:szCs w:val="28"/>
        </w:rPr>
        <w:t>“The District maintains its accounts in accordance with</w:t>
      </w:r>
      <w:r w:rsidRPr="00B54790">
        <w:rPr>
          <w:rFonts w:asciiTheme="minorHAnsi" w:hAnsiTheme="minorHAnsi" w:cstheme="minorHAnsi"/>
          <w:i/>
          <w:color w:val="C00000"/>
          <w:sz w:val="28"/>
          <w:szCs w:val="28"/>
        </w:rPr>
        <w:tab/>
        <w:t xml:space="preserve"> accounting principles generally accepted in the United States of America for proprietary funds as prescribed by the Governmental Accounting Standards Board (“GASB”). The District’s accounting records generally follow the Uniform </w:t>
      </w:r>
      <w:r w:rsidRPr="00B54790">
        <w:rPr>
          <w:rFonts w:asciiTheme="minorHAnsi" w:hAnsiTheme="minorHAnsi" w:cstheme="minorHAnsi"/>
          <w:i/>
          <w:color w:val="C00000"/>
          <w:sz w:val="28"/>
          <w:szCs w:val="28"/>
        </w:rPr>
        <w:lastRenderedPageBreak/>
        <w:t xml:space="preserve">System of Accounts for public utilities and licenses prescribed by FERC.  The accompanying financial statements are those of the District, which generates, transmits, and distributes electric energy and wholesale fiber optic network services within Grant County, Washington”. </w:t>
      </w:r>
    </w:p>
    <w:p w:rsidR="009D4E7D" w:rsidRPr="00B54790" w:rsidRDefault="009D4E7D" w:rsidP="009D4E7D">
      <w:pPr>
        <w:pStyle w:val="NoSpacing"/>
        <w:rPr>
          <w:rFonts w:asciiTheme="minorHAnsi" w:hAnsiTheme="minorHAnsi" w:cstheme="minorHAnsi"/>
          <w:color w:val="C00000"/>
          <w:sz w:val="28"/>
          <w:szCs w:val="28"/>
        </w:rPr>
      </w:pPr>
    </w:p>
    <w:p w:rsidR="009D4E7D" w:rsidRPr="00B54790" w:rsidRDefault="009D4E7D" w:rsidP="00B54790">
      <w:pPr>
        <w:pStyle w:val="NoSpacing"/>
        <w:ind w:left="1440"/>
        <w:rPr>
          <w:rFonts w:asciiTheme="minorHAnsi" w:hAnsiTheme="minorHAnsi" w:cstheme="minorHAnsi"/>
          <w:i/>
          <w:color w:val="C00000"/>
          <w:sz w:val="28"/>
          <w:szCs w:val="28"/>
        </w:rPr>
      </w:pPr>
      <w:r w:rsidRPr="00B54790">
        <w:rPr>
          <w:rFonts w:asciiTheme="minorHAnsi" w:hAnsiTheme="minorHAnsi" w:cstheme="minorHAnsi"/>
          <w:i/>
          <w:color w:val="C00000"/>
          <w:sz w:val="28"/>
          <w:szCs w:val="28"/>
        </w:rPr>
        <w:t>Grant PUD’s external auditor’s (</w:t>
      </w:r>
      <w:proofErr w:type="spellStart"/>
      <w:r w:rsidRPr="00B54790">
        <w:rPr>
          <w:rFonts w:asciiTheme="minorHAnsi" w:hAnsiTheme="minorHAnsi" w:cstheme="minorHAnsi"/>
          <w:i/>
          <w:color w:val="C00000"/>
          <w:sz w:val="28"/>
          <w:szCs w:val="28"/>
        </w:rPr>
        <w:t>MossAdams</w:t>
      </w:r>
      <w:proofErr w:type="spellEnd"/>
      <w:r w:rsidRPr="00B54790">
        <w:rPr>
          <w:rFonts w:asciiTheme="minorHAnsi" w:hAnsiTheme="minorHAnsi" w:cstheme="minorHAnsi"/>
          <w:i/>
          <w:color w:val="C00000"/>
          <w:sz w:val="28"/>
          <w:szCs w:val="28"/>
        </w:rPr>
        <w:t xml:space="preserve"> LLP) opinion (previously provided in its July 25, 2019 Reply to July 10 Comments, as Attachment A) states:</w:t>
      </w:r>
    </w:p>
    <w:p w:rsidR="009D4E7D" w:rsidRPr="00B54790" w:rsidRDefault="009D4E7D" w:rsidP="009D4E7D">
      <w:pPr>
        <w:pStyle w:val="NoSpacing"/>
        <w:rPr>
          <w:rFonts w:asciiTheme="minorHAnsi" w:hAnsiTheme="minorHAnsi" w:cstheme="minorHAnsi"/>
          <w:color w:val="C00000"/>
          <w:sz w:val="28"/>
          <w:szCs w:val="28"/>
        </w:rPr>
      </w:pPr>
    </w:p>
    <w:p w:rsidR="009D4E7D" w:rsidRPr="00B54790" w:rsidRDefault="009D4E7D" w:rsidP="00B54790">
      <w:pPr>
        <w:pStyle w:val="NoSpacing"/>
        <w:ind w:left="2160"/>
        <w:rPr>
          <w:rFonts w:asciiTheme="minorHAnsi" w:hAnsiTheme="minorHAnsi" w:cstheme="minorHAnsi"/>
          <w:i/>
          <w:color w:val="C00000"/>
          <w:sz w:val="28"/>
          <w:szCs w:val="28"/>
        </w:rPr>
      </w:pPr>
      <w:r w:rsidRPr="00B54790">
        <w:rPr>
          <w:rFonts w:asciiTheme="minorHAnsi" w:hAnsiTheme="minorHAnsi" w:cstheme="minorHAnsi"/>
          <w:i/>
          <w:color w:val="C00000"/>
          <w:sz w:val="28"/>
          <w:szCs w:val="28"/>
        </w:rPr>
        <w:t>“In our opinion, the financial statements referred to above present fairly, in all material respects, the financial position of the District as of December 31, 2018, and its cash flows for the year then ended in accordance with accounting principles generally accepted in the United States of America”.</w:t>
      </w:r>
    </w:p>
    <w:p w:rsidR="009D4E7D" w:rsidRPr="009D4E7D" w:rsidRDefault="009D4E7D" w:rsidP="009D4E7D">
      <w:pPr>
        <w:pStyle w:val="NoSpacing"/>
        <w:rPr>
          <w:rFonts w:asciiTheme="minorHAnsi" w:hAnsiTheme="minorHAnsi" w:cstheme="minorHAnsi"/>
          <w:sz w:val="28"/>
          <w:szCs w:val="28"/>
        </w:rPr>
      </w:pPr>
    </w:p>
    <w:sectPr w:rsidR="009D4E7D" w:rsidRPr="009D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AA"/>
    <w:rsid w:val="000A5487"/>
    <w:rsid w:val="000B58D0"/>
    <w:rsid w:val="00147387"/>
    <w:rsid w:val="0019003A"/>
    <w:rsid w:val="001E61FB"/>
    <w:rsid w:val="001F414A"/>
    <w:rsid w:val="00201EA2"/>
    <w:rsid w:val="00220719"/>
    <w:rsid w:val="0024208C"/>
    <w:rsid w:val="0026118F"/>
    <w:rsid w:val="002A5B08"/>
    <w:rsid w:val="002F0961"/>
    <w:rsid w:val="0033671E"/>
    <w:rsid w:val="00360B77"/>
    <w:rsid w:val="003A5EEC"/>
    <w:rsid w:val="003B79DF"/>
    <w:rsid w:val="003D24CE"/>
    <w:rsid w:val="003F72F4"/>
    <w:rsid w:val="00445571"/>
    <w:rsid w:val="00446253"/>
    <w:rsid w:val="00463C72"/>
    <w:rsid w:val="004927AA"/>
    <w:rsid w:val="004B5C2C"/>
    <w:rsid w:val="004E7907"/>
    <w:rsid w:val="005444C0"/>
    <w:rsid w:val="00586565"/>
    <w:rsid w:val="005A4172"/>
    <w:rsid w:val="0060395B"/>
    <w:rsid w:val="00622471"/>
    <w:rsid w:val="006643FF"/>
    <w:rsid w:val="00667A92"/>
    <w:rsid w:val="006973D8"/>
    <w:rsid w:val="006D5483"/>
    <w:rsid w:val="007020F9"/>
    <w:rsid w:val="00710353"/>
    <w:rsid w:val="00713406"/>
    <w:rsid w:val="00767B56"/>
    <w:rsid w:val="007A196D"/>
    <w:rsid w:val="007F34D1"/>
    <w:rsid w:val="007F3D07"/>
    <w:rsid w:val="008007F4"/>
    <w:rsid w:val="00836D64"/>
    <w:rsid w:val="008B40E0"/>
    <w:rsid w:val="008B4168"/>
    <w:rsid w:val="008E4826"/>
    <w:rsid w:val="00993DEC"/>
    <w:rsid w:val="009D4E7D"/>
    <w:rsid w:val="00A07192"/>
    <w:rsid w:val="00A217ED"/>
    <w:rsid w:val="00A62EF3"/>
    <w:rsid w:val="00A81F1B"/>
    <w:rsid w:val="00AA048C"/>
    <w:rsid w:val="00B54790"/>
    <w:rsid w:val="00B61A19"/>
    <w:rsid w:val="00B65283"/>
    <w:rsid w:val="00BA4EFD"/>
    <w:rsid w:val="00BB4451"/>
    <w:rsid w:val="00BE040C"/>
    <w:rsid w:val="00BE3122"/>
    <w:rsid w:val="00C10FA6"/>
    <w:rsid w:val="00C813AC"/>
    <w:rsid w:val="00C90E87"/>
    <w:rsid w:val="00CA4E9A"/>
    <w:rsid w:val="00DA2C97"/>
    <w:rsid w:val="00DB3635"/>
    <w:rsid w:val="00DE5623"/>
    <w:rsid w:val="00DF6328"/>
    <w:rsid w:val="00E05A12"/>
    <w:rsid w:val="00E95F4D"/>
    <w:rsid w:val="00E97259"/>
    <w:rsid w:val="00EC5B6C"/>
    <w:rsid w:val="00F3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216A3-DF81-4A17-A203-B43A7AE0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AA"/>
    <w:pPr>
      <w:spacing w:after="0" w:line="276" w:lineRule="auto"/>
    </w:pPr>
    <w:rPr>
      <w:rFonts w:ascii="Arial" w:eastAsia="Arial" w:hAnsi="Arial" w:cs="Arial"/>
      <w:lang w:val="en"/>
    </w:rPr>
  </w:style>
  <w:style w:type="paragraph" w:styleId="Heading1">
    <w:name w:val="heading 1"/>
    <w:basedOn w:val="Normal"/>
    <w:link w:val="Heading1Char"/>
    <w:uiPriority w:val="9"/>
    <w:qFormat/>
    <w:rsid w:val="003B79DF"/>
    <w:pPr>
      <w:spacing w:before="200" w:after="100" w:line="240" w:lineRule="auto"/>
      <w:jc w:val="center"/>
      <w:outlineLvl w:val="0"/>
    </w:pPr>
    <w:rPr>
      <w:rFonts w:ascii="Times New Roman" w:eastAsia="Times New Roman" w:hAnsi="Times New Roman" w:cs="Times New Roman"/>
      <w:b/>
      <w:bCs/>
      <w:kern w:val="36"/>
      <w:sz w:val="21"/>
      <w:szCs w:val="21"/>
      <w:lang w:val="en-US"/>
    </w:rPr>
  </w:style>
  <w:style w:type="paragraph" w:styleId="Heading5">
    <w:name w:val="heading 5"/>
    <w:basedOn w:val="Normal"/>
    <w:link w:val="Heading5Char"/>
    <w:uiPriority w:val="9"/>
    <w:qFormat/>
    <w:rsid w:val="003B79DF"/>
    <w:pPr>
      <w:spacing w:before="200" w:after="100" w:line="240" w:lineRule="auto"/>
      <w:jc w:val="center"/>
      <w:outlineLvl w:val="4"/>
    </w:pPr>
    <w:rPr>
      <w:rFonts w:ascii="Times New Roman" w:eastAsia="Times New Roman" w:hAnsi="Times New Roman" w:cs="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27AA"/>
    <w:pPr>
      <w:widowControl w:val="0"/>
      <w:autoSpaceDE w:val="0"/>
      <w:autoSpaceDN w:val="0"/>
      <w:spacing w:line="240" w:lineRule="auto"/>
    </w:pPr>
    <w:rPr>
      <w:rFonts w:ascii="Times New Roman" w:eastAsia="Times New Roman" w:hAnsi="Times New Roman" w:cs="Times New Roman"/>
      <w:sz w:val="25"/>
      <w:szCs w:val="25"/>
      <w:lang w:val="en-US"/>
    </w:rPr>
  </w:style>
  <w:style w:type="character" w:customStyle="1" w:styleId="BodyTextChar">
    <w:name w:val="Body Text Char"/>
    <w:basedOn w:val="DefaultParagraphFont"/>
    <w:link w:val="BodyText"/>
    <w:uiPriority w:val="1"/>
    <w:rsid w:val="004927AA"/>
    <w:rPr>
      <w:rFonts w:ascii="Times New Roman" w:eastAsia="Times New Roman" w:hAnsi="Times New Roman" w:cs="Times New Roman"/>
      <w:sz w:val="25"/>
      <w:szCs w:val="25"/>
    </w:rPr>
  </w:style>
  <w:style w:type="character" w:styleId="Hyperlink">
    <w:name w:val="Hyperlink"/>
    <w:basedOn w:val="DefaultParagraphFont"/>
    <w:uiPriority w:val="99"/>
    <w:unhideWhenUsed/>
    <w:rsid w:val="00463C72"/>
    <w:rPr>
      <w:color w:val="0563C1" w:themeColor="hyperlink"/>
      <w:u w:val="single"/>
    </w:rPr>
  </w:style>
  <w:style w:type="paragraph" w:styleId="NoSpacing">
    <w:name w:val="No Spacing"/>
    <w:uiPriority w:val="1"/>
    <w:qFormat/>
    <w:rsid w:val="00BE040C"/>
    <w:pPr>
      <w:spacing w:after="0" w:line="240" w:lineRule="auto"/>
    </w:pPr>
    <w:rPr>
      <w:rFonts w:ascii="Arial" w:eastAsia="Arial" w:hAnsi="Arial" w:cs="Arial"/>
      <w:lang w:val="en"/>
    </w:rPr>
  </w:style>
  <w:style w:type="table" w:styleId="TableGrid">
    <w:name w:val="Table Grid"/>
    <w:basedOn w:val="TableNormal"/>
    <w:uiPriority w:val="39"/>
    <w:rsid w:val="0019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471"/>
    <w:rPr>
      <w:sz w:val="16"/>
      <w:szCs w:val="16"/>
    </w:rPr>
  </w:style>
  <w:style w:type="paragraph" w:styleId="CommentText">
    <w:name w:val="annotation text"/>
    <w:basedOn w:val="Normal"/>
    <w:link w:val="CommentTextChar"/>
    <w:uiPriority w:val="99"/>
    <w:semiHidden/>
    <w:unhideWhenUsed/>
    <w:rsid w:val="00622471"/>
    <w:pPr>
      <w:spacing w:line="240" w:lineRule="auto"/>
    </w:pPr>
    <w:rPr>
      <w:sz w:val="20"/>
      <w:szCs w:val="20"/>
    </w:rPr>
  </w:style>
  <w:style w:type="character" w:customStyle="1" w:styleId="CommentTextChar">
    <w:name w:val="Comment Text Char"/>
    <w:basedOn w:val="DefaultParagraphFont"/>
    <w:link w:val="CommentText"/>
    <w:uiPriority w:val="99"/>
    <w:semiHidden/>
    <w:rsid w:val="00622471"/>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6224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71"/>
    <w:rPr>
      <w:rFonts w:ascii="Segoe UI" w:eastAsia="Arial" w:hAnsi="Segoe UI" w:cs="Segoe UI"/>
      <w:sz w:val="18"/>
      <w:szCs w:val="18"/>
      <w:lang w:val="en"/>
    </w:rPr>
  </w:style>
  <w:style w:type="character" w:customStyle="1" w:styleId="Heading1Char">
    <w:name w:val="Heading 1 Char"/>
    <w:basedOn w:val="DefaultParagraphFont"/>
    <w:link w:val="Heading1"/>
    <w:uiPriority w:val="9"/>
    <w:rsid w:val="003B79DF"/>
    <w:rPr>
      <w:rFonts w:ascii="Times New Roman" w:eastAsia="Times New Roman" w:hAnsi="Times New Roman" w:cs="Times New Roman"/>
      <w:b/>
      <w:bCs/>
      <w:kern w:val="36"/>
      <w:sz w:val="21"/>
      <w:szCs w:val="21"/>
    </w:rPr>
  </w:style>
  <w:style w:type="character" w:customStyle="1" w:styleId="Heading5Char">
    <w:name w:val="Heading 5 Char"/>
    <w:basedOn w:val="DefaultParagraphFont"/>
    <w:link w:val="Heading5"/>
    <w:uiPriority w:val="9"/>
    <w:rsid w:val="003B79DF"/>
    <w:rPr>
      <w:rFonts w:ascii="Times New Roman" w:eastAsia="Times New Roman" w:hAnsi="Times New Roman" w:cs="Times New Roman"/>
      <w:b/>
      <w:bCs/>
      <w:sz w:val="21"/>
      <w:szCs w:val="21"/>
    </w:rPr>
  </w:style>
  <w:style w:type="paragraph" w:styleId="NormalWeb">
    <w:name w:val="Normal (Web)"/>
    <w:basedOn w:val="Normal"/>
    <w:uiPriority w:val="99"/>
    <w:semiHidden/>
    <w:unhideWhenUsed/>
    <w:rsid w:val="003B79DF"/>
    <w:pPr>
      <w:spacing w:before="100" w:beforeAutospacing="1" w:after="100" w:afterAutospacing="1" w:line="240" w:lineRule="auto"/>
      <w:ind w:firstLine="480"/>
    </w:pPr>
    <w:rPr>
      <w:rFonts w:ascii="Times New Roman" w:eastAsia="Times New Roman" w:hAnsi="Times New Roman" w:cs="Times New Roman"/>
      <w:sz w:val="24"/>
      <w:szCs w:val="24"/>
      <w:lang w:val="en-US"/>
    </w:rPr>
  </w:style>
  <w:style w:type="paragraph" w:customStyle="1" w:styleId="fp">
    <w:name w:val="fp"/>
    <w:basedOn w:val="Normal"/>
    <w:rsid w:val="00DA2C97"/>
    <w:pPr>
      <w:spacing w:before="200"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40385">
      <w:bodyDiv w:val="1"/>
      <w:marLeft w:val="0"/>
      <w:marRight w:val="0"/>
      <w:marTop w:val="30"/>
      <w:marBottom w:val="750"/>
      <w:divBdr>
        <w:top w:val="none" w:sz="0" w:space="0" w:color="auto"/>
        <w:left w:val="none" w:sz="0" w:space="0" w:color="auto"/>
        <w:bottom w:val="none" w:sz="0" w:space="0" w:color="auto"/>
        <w:right w:val="none" w:sz="0" w:space="0" w:color="auto"/>
      </w:divBdr>
      <w:divsChild>
        <w:div w:id="646277534">
          <w:marLeft w:val="0"/>
          <w:marRight w:val="0"/>
          <w:marTop w:val="0"/>
          <w:marBottom w:val="0"/>
          <w:divBdr>
            <w:top w:val="none" w:sz="0" w:space="0" w:color="auto"/>
            <w:left w:val="none" w:sz="0" w:space="0" w:color="auto"/>
            <w:bottom w:val="none" w:sz="0" w:space="0" w:color="auto"/>
            <w:right w:val="none" w:sz="0" w:space="0" w:color="auto"/>
          </w:divBdr>
        </w:div>
      </w:divsChild>
    </w:div>
    <w:div w:id="1702437108">
      <w:bodyDiv w:val="1"/>
      <w:marLeft w:val="0"/>
      <w:marRight w:val="0"/>
      <w:marTop w:val="30"/>
      <w:marBottom w:val="750"/>
      <w:divBdr>
        <w:top w:val="none" w:sz="0" w:space="0" w:color="auto"/>
        <w:left w:val="none" w:sz="0" w:space="0" w:color="auto"/>
        <w:bottom w:val="none" w:sz="0" w:space="0" w:color="auto"/>
        <w:right w:val="none" w:sz="0" w:space="0" w:color="auto"/>
      </w:divBdr>
      <w:divsChild>
        <w:div w:id="1853642012">
          <w:marLeft w:val="0"/>
          <w:marRight w:val="0"/>
          <w:marTop w:val="0"/>
          <w:marBottom w:val="0"/>
          <w:divBdr>
            <w:top w:val="none" w:sz="0" w:space="0" w:color="auto"/>
            <w:left w:val="none" w:sz="0" w:space="0" w:color="auto"/>
            <w:bottom w:val="none" w:sz="0" w:space="0" w:color="auto"/>
            <w:right w:val="none" w:sz="0" w:space="0" w:color="auto"/>
          </w:divBdr>
        </w:div>
        <w:div w:id="1143237500">
          <w:marLeft w:val="0"/>
          <w:marRight w:val="0"/>
          <w:marTop w:val="0"/>
          <w:marBottom w:val="0"/>
          <w:divBdr>
            <w:top w:val="none" w:sz="0" w:space="0" w:color="auto"/>
            <w:left w:val="none" w:sz="0" w:space="0" w:color="auto"/>
            <w:bottom w:val="none" w:sz="0" w:space="0" w:color="auto"/>
            <w:right w:val="none" w:sz="0" w:space="0" w:color="auto"/>
          </w:divBdr>
        </w:div>
        <w:div w:id="615336306">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ntpud.org/templates/galaxy/images/images/Downloads/About/Environment/ShorelineManagement/PriestRapidsProjectLicense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3232</Words>
  <Characters>18426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Brill</dc:creator>
  <cp:keywords/>
  <dc:description/>
  <cp:lastModifiedBy>Ryan Holterhoff</cp:lastModifiedBy>
  <cp:revision>2</cp:revision>
  <dcterms:created xsi:type="dcterms:W3CDTF">2020-01-10T20:57:00Z</dcterms:created>
  <dcterms:modified xsi:type="dcterms:W3CDTF">2020-01-10T20:57:00Z</dcterms:modified>
</cp:coreProperties>
</file>